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D19" w:rsidRDefault="00E12D19" w:rsidP="00396051">
      <w:pPr>
        <w:ind w:left="-567"/>
      </w:pPr>
    </w:p>
    <w:p w:rsidR="00F279EA" w:rsidRDefault="00F279EA" w:rsidP="00396051">
      <w:pPr>
        <w:ind w:left="-567"/>
      </w:pPr>
    </w:p>
    <w:p w:rsidR="00F279EA" w:rsidRDefault="00F279EA" w:rsidP="00396051">
      <w:pPr>
        <w:ind w:left="-567"/>
        <w:jc w:val="center"/>
      </w:pPr>
      <w:r>
        <w:rPr>
          <w:noProof/>
          <w:lang w:eastAsia="cs-CZ"/>
        </w:rPr>
        <w:drawing>
          <wp:inline distT="0" distB="0" distL="0" distR="0">
            <wp:extent cx="2377440" cy="3387090"/>
            <wp:effectExtent l="0" t="0" r="381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3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9EA" w:rsidRDefault="00F279EA" w:rsidP="00396051">
      <w:pPr>
        <w:ind w:left="-567"/>
        <w:jc w:val="center"/>
      </w:pPr>
    </w:p>
    <w:p w:rsidR="00F279EA" w:rsidRDefault="00F279EA" w:rsidP="00396051">
      <w:pPr>
        <w:ind w:left="-567"/>
        <w:jc w:val="center"/>
      </w:pPr>
    </w:p>
    <w:p w:rsidR="00F279EA" w:rsidRDefault="00F279EA" w:rsidP="00396051">
      <w:pPr>
        <w:ind w:left="-567"/>
        <w:jc w:val="center"/>
      </w:pPr>
    </w:p>
    <w:p w:rsidR="00F279EA" w:rsidRDefault="00F279EA" w:rsidP="00396051">
      <w:pPr>
        <w:ind w:left="-567"/>
        <w:jc w:val="center"/>
      </w:pPr>
    </w:p>
    <w:p w:rsidR="00F279EA" w:rsidRDefault="00F279EA" w:rsidP="00396051">
      <w:pPr>
        <w:ind w:left="-567"/>
        <w:jc w:val="center"/>
        <w:rPr>
          <w:rFonts w:ascii="Arial,Bold" w:hAnsi="Arial,Bold"/>
          <w:b/>
          <w:bCs/>
          <w:sz w:val="28"/>
          <w:szCs w:val="28"/>
        </w:rPr>
      </w:pPr>
      <w:r>
        <w:rPr>
          <w:rFonts w:ascii="Arial,Bold" w:hAnsi="Arial,Bold"/>
          <w:b/>
          <w:bCs/>
          <w:sz w:val="28"/>
          <w:szCs w:val="28"/>
        </w:rPr>
        <w:t>Zdraví, bezpečnost, životní prostředí</w:t>
      </w:r>
    </w:p>
    <w:p w:rsidR="00F279EA" w:rsidRDefault="00F279EA" w:rsidP="00396051">
      <w:pPr>
        <w:ind w:left="-567"/>
        <w:jc w:val="center"/>
        <w:rPr>
          <w:sz w:val="22"/>
        </w:rPr>
      </w:pPr>
      <w:r>
        <w:rPr>
          <w:rFonts w:ascii="Arial,Bold" w:hAnsi="Arial,Bold"/>
          <w:b/>
          <w:bCs/>
          <w:sz w:val="28"/>
          <w:szCs w:val="28"/>
        </w:rPr>
        <w:t>Výroční zpráva 2018</w:t>
      </w:r>
    </w:p>
    <w:p w:rsidR="00F279EA" w:rsidRDefault="00F279EA" w:rsidP="00396051">
      <w:pPr>
        <w:ind w:left="-567"/>
        <w:rPr>
          <w:sz w:val="22"/>
        </w:rPr>
      </w:pPr>
    </w:p>
    <w:p w:rsidR="00F279EA" w:rsidRDefault="00F279EA" w:rsidP="00396051">
      <w:pPr>
        <w:ind w:left="-567"/>
        <w:rPr>
          <w:sz w:val="22"/>
        </w:rPr>
      </w:pPr>
    </w:p>
    <w:p w:rsidR="00F279EA" w:rsidRDefault="00F279EA" w:rsidP="00396051">
      <w:pPr>
        <w:ind w:left="-567"/>
        <w:rPr>
          <w:sz w:val="22"/>
        </w:rPr>
      </w:pPr>
    </w:p>
    <w:p w:rsidR="00F279EA" w:rsidRDefault="00F279EA" w:rsidP="00396051">
      <w:pPr>
        <w:ind w:left="-567"/>
        <w:jc w:val="center"/>
        <w:rPr>
          <w:b/>
          <w:sz w:val="28"/>
          <w:szCs w:val="28"/>
        </w:rPr>
      </w:pPr>
      <w:r>
        <w:rPr>
          <w:rFonts w:ascii="Arial,Bold" w:hAnsi="Arial,Bold"/>
          <w:b/>
          <w:bCs/>
          <w:sz w:val="28"/>
          <w:szCs w:val="28"/>
        </w:rPr>
        <w:t>Určeno: pro zaměstnance, státní správu a veřejnost</w:t>
      </w:r>
    </w:p>
    <w:p w:rsidR="00F279EA" w:rsidRDefault="00F279EA" w:rsidP="00396051">
      <w:pPr>
        <w:ind w:left="-567"/>
        <w:jc w:val="center"/>
      </w:pPr>
    </w:p>
    <w:p w:rsidR="00F279EA" w:rsidRDefault="00F279EA" w:rsidP="00396051">
      <w:pPr>
        <w:ind w:left="-567"/>
        <w:jc w:val="center"/>
      </w:pPr>
    </w:p>
    <w:p w:rsidR="00F279EA" w:rsidRDefault="00F279EA" w:rsidP="00340C65"/>
    <w:p w:rsidR="00396051" w:rsidRDefault="00396051" w:rsidP="00396051">
      <w:pPr>
        <w:ind w:left="-567"/>
      </w:pPr>
    </w:p>
    <w:p w:rsidR="00396051" w:rsidRPr="00396051" w:rsidRDefault="00396051" w:rsidP="00396051">
      <w:pPr>
        <w:pStyle w:val="Bezmezer"/>
      </w:pPr>
    </w:p>
    <w:p w:rsidR="00F279EA" w:rsidRDefault="00F279EA" w:rsidP="000513FE">
      <w:pPr>
        <w:pStyle w:val="Nadpis1"/>
        <w:jc w:val="both"/>
      </w:pPr>
      <w:r w:rsidRPr="00F279EA">
        <w:lastRenderedPageBreak/>
        <w:t>PROHLÁŠENÍ VEDENÍ</w:t>
      </w:r>
    </w:p>
    <w:p w:rsidR="00396051" w:rsidRPr="00396051" w:rsidRDefault="00396051" w:rsidP="000513FE"/>
    <w:p w:rsidR="00F279EA" w:rsidRPr="00396051" w:rsidRDefault="00F279EA" w:rsidP="000513FE">
      <w:pPr>
        <w:pStyle w:val="Zkladntext21"/>
        <w:overflowPunct/>
        <w:textAlignment w:val="auto"/>
        <w:rPr>
          <w:rFonts w:ascii="Times New Roman" w:hAnsi="Times New Roman"/>
          <w:szCs w:val="24"/>
        </w:rPr>
      </w:pPr>
      <w:r w:rsidRPr="00F279EA">
        <w:rPr>
          <w:rFonts w:ascii="Times New Roman" w:hAnsi="Times New Roman"/>
          <w:szCs w:val="24"/>
        </w:rPr>
        <w:t xml:space="preserve">Vedení Explosia a.s. prohlašuje, že implementovalo v roce 2004 do systémů řízení společnosti zásady Programu </w:t>
      </w:r>
      <w:proofErr w:type="spellStart"/>
      <w:r w:rsidRPr="00F279EA">
        <w:rPr>
          <w:rFonts w:ascii="Times New Roman" w:hAnsi="Times New Roman"/>
          <w:szCs w:val="24"/>
        </w:rPr>
        <w:t>Responsible</w:t>
      </w:r>
      <w:proofErr w:type="spellEnd"/>
      <w:r w:rsidRPr="00F279EA">
        <w:rPr>
          <w:rFonts w:ascii="Times New Roman" w:hAnsi="Times New Roman"/>
          <w:szCs w:val="24"/>
        </w:rPr>
        <w:t xml:space="preserve"> Care a po provedeném auditu společnosti v roce 2005 získalo a </w:t>
      </w:r>
      <w:r w:rsidRPr="000007C2">
        <w:rPr>
          <w:rFonts w:ascii="Times New Roman" w:hAnsi="Times New Roman"/>
          <w:szCs w:val="24"/>
        </w:rPr>
        <w:t>v letech 2007, 2009, 20013 a v roce 2016 obhájilo od Svazu chemického</w:t>
      </w:r>
      <w:r w:rsidRPr="00F279EA">
        <w:rPr>
          <w:rFonts w:ascii="Times New Roman" w:hAnsi="Times New Roman"/>
          <w:szCs w:val="24"/>
        </w:rPr>
        <w:t xml:space="preserve"> průmyslu osvědčení spojené s právem užívat logo RESPO</w:t>
      </w:r>
      <w:r w:rsidR="00396051">
        <w:rPr>
          <w:rFonts w:ascii="Times New Roman" w:hAnsi="Times New Roman"/>
          <w:szCs w:val="24"/>
        </w:rPr>
        <w:t>NSIBLE CARE do října roku 20</w:t>
      </w:r>
      <w:bookmarkStart w:id="0" w:name="_GoBack"/>
      <w:bookmarkEnd w:id="0"/>
      <w:r w:rsidR="00020044">
        <w:rPr>
          <w:rFonts w:ascii="Times New Roman" w:hAnsi="Times New Roman"/>
          <w:szCs w:val="24"/>
        </w:rPr>
        <w:t>20</w:t>
      </w:r>
      <w:r w:rsidR="00396051">
        <w:rPr>
          <w:rFonts w:ascii="Times New Roman" w:hAnsi="Times New Roman"/>
          <w:szCs w:val="24"/>
        </w:rPr>
        <w:t>.</w:t>
      </w:r>
    </w:p>
    <w:p w:rsidR="00F279EA" w:rsidRPr="00396051" w:rsidRDefault="00F279EA" w:rsidP="000513FE">
      <w:pPr>
        <w:pStyle w:val="Nadpis1"/>
        <w:jc w:val="both"/>
      </w:pPr>
      <w:r w:rsidRPr="00F279EA">
        <w:t>PRINCIPY A POLITIKA OCHRANY ŽIVOTNÍHO PROSTŘEDÍ</w:t>
      </w:r>
    </w:p>
    <w:p w:rsidR="00F279EA" w:rsidRPr="00396051" w:rsidRDefault="00F279EA" w:rsidP="000513FE">
      <w:pPr>
        <w:pStyle w:val="Nadpis2"/>
        <w:jc w:val="both"/>
      </w:pPr>
      <w:r w:rsidRPr="00F279EA">
        <w:t>Principy</w:t>
      </w:r>
    </w:p>
    <w:p w:rsidR="00F279EA" w:rsidRPr="00F279EA" w:rsidRDefault="00F279EA" w:rsidP="000513FE">
      <w:pPr>
        <w:jc w:val="both"/>
      </w:pPr>
      <w:r w:rsidRPr="00F279EA">
        <w:t xml:space="preserve">Program </w:t>
      </w:r>
      <w:proofErr w:type="spellStart"/>
      <w:r w:rsidRPr="00F279EA">
        <w:t>Responsible</w:t>
      </w:r>
      <w:proofErr w:type="spellEnd"/>
      <w:r w:rsidRPr="00F279EA">
        <w:t xml:space="preserve"> Care je dobrovolná, celosvětově přijatá a rozvíjená iniciativa chemického průmyslu, zaměřená na podporu jeho udržitelného rozvoje vstřícným zvyšováním bezpečnosti jeho provozovaných zařízení, přepravy výrobků, zlepšováním ochrany zdraví lidí a životního prostředí. Program představuje dlouhodobou strategii koordinovanou Mezinárodní radou chemického průmyslu (ICCA), v Evropě Evropskou radou chemického průmyslu (CEFIC). Národní verzí programu R. C. je program Odpovědné podnikání v chemii, oficiálně vyhlášený při zahájení CHEMTEC ´94 (říjen 1994) ministrem průmyslu a obchodu a prezidentem SCHP. Jeho priority vyjadřuje soubor osmi kodexů svazového programu z června 1995:</w:t>
      </w:r>
    </w:p>
    <w:p w:rsidR="00C72539" w:rsidRDefault="00F279EA" w:rsidP="000513FE">
      <w:pPr>
        <w:jc w:val="both"/>
      </w:pPr>
      <w:r w:rsidRPr="00F279EA">
        <w:t>1. Vstřícnost</w:t>
      </w:r>
    </w:p>
    <w:p w:rsidR="00F279EA" w:rsidRPr="00F279EA" w:rsidRDefault="00F279EA" w:rsidP="000513FE">
      <w:pPr>
        <w:jc w:val="both"/>
      </w:pPr>
      <w:r w:rsidRPr="00F279EA">
        <w:t>2. Ochrana zdraví, bezpečnost</w:t>
      </w:r>
    </w:p>
    <w:p w:rsidR="00F279EA" w:rsidRPr="00F279EA" w:rsidRDefault="00F279EA" w:rsidP="000513FE">
      <w:pPr>
        <w:jc w:val="both"/>
      </w:pPr>
      <w:r w:rsidRPr="00F279EA">
        <w:t>3. Komplexní ochrana životního prostředí</w:t>
      </w:r>
    </w:p>
    <w:p w:rsidR="00F279EA" w:rsidRPr="00F279EA" w:rsidRDefault="00F279EA" w:rsidP="000513FE">
      <w:pPr>
        <w:jc w:val="both"/>
      </w:pPr>
      <w:r w:rsidRPr="00F279EA">
        <w:t>4. Zmírnění důsledků ekologických závad</w:t>
      </w:r>
    </w:p>
    <w:p w:rsidR="00F279EA" w:rsidRPr="00F279EA" w:rsidRDefault="00F279EA" w:rsidP="000513FE">
      <w:pPr>
        <w:jc w:val="both"/>
      </w:pPr>
      <w:r w:rsidRPr="00F279EA">
        <w:t xml:space="preserve">5. </w:t>
      </w:r>
      <w:proofErr w:type="spellStart"/>
      <w:r w:rsidRPr="00F279EA">
        <w:t>Protihavarijní</w:t>
      </w:r>
      <w:proofErr w:type="spellEnd"/>
      <w:r w:rsidRPr="00F279EA">
        <w:t xml:space="preserve"> připravenost</w:t>
      </w:r>
    </w:p>
    <w:p w:rsidR="00F279EA" w:rsidRPr="00F279EA" w:rsidRDefault="00F279EA" w:rsidP="000513FE">
      <w:pPr>
        <w:jc w:val="both"/>
      </w:pPr>
      <w:r w:rsidRPr="00F279EA">
        <w:t xml:space="preserve">6. </w:t>
      </w:r>
      <w:proofErr w:type="spellStart"/>
      <w:r w:rsidRPr="00F279EA">
        <w:t>Ekomanagement</w:t>
      </w:r>
      <w:proofErr w:type="spellEnd"/>
    </w:p>
    <w:p w:rsidR="00F279EA" w:rsidRPr="00F279EA" w:rsidRDefault="00F279EA" w:rsidP="000513FE">
      <w:pPr>
        <w:jc w:val="both"/>
      </w:pPr>
      <w:r w:rsidRPr="00F279EA">
        <w:t>7. Výchova a výcvik</w:t>
      </w:r>
    </w:p>
    <w:p w:rsidR="00F279EA" w:rsidRPr="00396051" w:rsidRDefault="00396051" w:rsidP="000513FE">
      <w:pPr>
        <w:jc w:val="both"/>
      </w:pPr>
      <w:r>
        <w:t>8. Informační otevřenost</w:t>
      </w:r>
    </w:p>
    <w:p w:rsidR="00F279EA" w:rsidRDefault="00F279EA" w:rsidP="000513FE">
      <w:pPr>
        <w:jc w:val="both"/>
      </w:pPr>
      <w:r w:rsidRPr="00F279EA">
        <w:t>Základní principy »</w:t>
      </w:r>
      <w:proofErr w:type="spellStart"/>
      <w:r w:rsidRPr="00F279EA">
        <w:t>Responsible</w:t>
      </w:r>
      <w:proofErr w:type="spellEnd"/>
      <w:r w:rsidRPr="00F279EA">
        <w:t xml:space="preserve"> Care« jsou rozpracovány v dílčích řídících a organizačních dokumentech</w:t>
      </w:r>
      <w:r>
        <w:t xml:space="preserve"> </w:t>
      </w:r>
      <w:r w:rsidRPr="00F279EA">
        <w:t>Explosia a.s. (dále jen „společnost“).</w:t>
      </w:r>
    </w:p>
    <w:p w:rsidR="00396051" w:rsidRPr="00396051" w:rsidRDefault="00396051" w:rsidP="000513FE">
      <w:pPr>
        <w:pStyle w:val="Bezmezer"/>
        <w:jc w:val="both"/>
      </w:pPr>
    </w:p>
    <w:p w:rsidR="00F279EA" w:rsidRPr="00C72539" w:rsidRDefault="00F279EA" w:rsidP="000513FE">
      <w:pPr>
        <w:pStyle w:val="Nadpis2"/>
        <w:jc w:val="both"/>
      </w:pPr>
      <w:r w:rsidRPr="00C72539">
        <w:t>Základní požadavky, ze kterých vychází společnost při koncipování své politiky ochrany životního prostředí</w:t>
      </w:r>
    </w:p>
    <w:p w:rsidR="00F279EA" w:rsidRPr="00F279EA" w:rsidRDefault="00F279EA" w:rsidP="000513FE">
      <w:pPr>
        <w:jc w:val="both"/>
      </w:pPr>
    </w:p>
    <w:p w:rsidR="00F279EA" w:rsidRPr="00F279EA" w:rsidRDefault="00F279EA" w:rsidP="000513FE">
      <w:pPr>
        <w:jc w:val="both"/>
      </w:pPr>
      <w:r w:rsidRPr="00F279EA">
        <w:t>Podíl látek vytěžených z povrchu z</w:t>
      </w:r>
      <w:r>
        <w:t>emské kůry nesmí ve společnosti</w:t>
      </w:r>
      <w:r w:rsidRPr="00F279EA">
        <w:t xml:space="preserve"> systematicky narůstat.</w:t>
      </w:r>
    </w:p>
    <w:p w:rsidR="00F279EA" w:rsidRPr="00F279EA" w:rsidRDefault="00F279EA" w:rsidP="000513FE">
      <w:pPr>
        <w:jc w:val="both"/>
      </w:pPr>
      <w:r w:rsidRPr="00F279EA">
        <w:t>Podíl látek vyráběných lidskou společností se nesmí systematicky zvyšovat.</w:t>
      </w:r>
    </w:p>
    <w:p w:rsidR="00F279EA" w:rsidRDefault="00F279EA" w:rsidP="000513FE">
      <w:pPr>
        <w:jc w:val="both"/>
      </w:pPr>
      <w:r w:rsidRPr="00F279EA">
        <w:t>Fyzická podstata přírody nesm</w:t>
      </w:r>
      <w:r>
        <w:t>í být systematicky vyčerpávána.</w:t>
      </w:r>
    </w:p>
    <w:p w:rsidR="00F279EA" w:rsidRPr="00F279EA" w:rsidRDefault="00F279EA" w:rsidP="000513FE">
      <w:pPr>
        <w:jc w:val="both"/>
      </w:pPr>
      <w:r w:rsidRPr="00F279EA">
        <w:rPr>
          <w:b/>
          <w:bCs/>
        </w:rPr>
        <w:t xml:space="preserve"> </w:t>
      </w:r>
      <w:r w:rsidRPr="00F279EA">
        <w:t xml:space="preserve">Disponibilní zdroje k zajištění základních </w:t>
      </w:r>
      <w:r>
        <w:t xml:space="preserve">potřeb lidstva se musí využívat </w:t>
      </w:r>
      <w:r w:rsidRPr="00F279EA">
        <w:t>maximálně efektivně.</w:t>
      </w:r>
    </w:p>
    <w:p w:rsidR="00F279EA" w:rsidRPr="00F279EA" w:rsidRDefault="00F279EA" w:rsidP="000513FE"/>
    <w:p w:rsidR="00F279EA" w:rsidRPr="00F279EA" w:rsidRDefault="00F279EA" w:rsidP="000513FE">
      <w:pPr>
        <w:pStyle w:val="Nadpis2"/>
      </w:pPr>
      <w:r w:rsidRPr="00F279EA">
        <w:lastRenderedPageBreak/>
        <w:t>Politika ochrany životního prostření</w:t>
      </w:r>
    </w:p>
    <w:p w:rsidR="00F279EA" w:rsidRPr="00F279EA" w:rsidRDefault="00F279EA" w:rsidP="000513FE"/>
    <w:p w:rsidR="00F279EA" w:rsidRPr="00F279EA" w:rsidRDefault="00F279EA" w:rsidP="000513FE">
      <w:pPr>
        <w:jc w:val="both"/>
        <w:rPr>
          <w:rFonts w:cs="Times New Roman"/>
          <w:szCs w:val="24"/>
        </w:rPr>
      </w:pPr>
      <w:r w:rsidRPr="00F279EA">
        <w:rPr>
          <w:rFonts w:cs="Times New Roman"/>
          <w:szCs w:val="24"/>
        </w:rPr>
        <w:t>Upřednostňujeme výrobky pocházející ze surovin nevyčerpávajících přírodní zdroje, upřednostňujeme technologie s co nejmenším dopadem na životní prostředí.</w:t>
      </w:r>
    </w:p>
    <w:p w:rsidR="00F279EA" w:rsidRPr="00F279EA" w:rsidRDefault="00F279EA" w:rsidP="000513FE">
      <w:pPr>
        <w:jc w:val="both"/>
        <w:rPr>
          <w:rFonts w:cs="Times New Roman"/>
          <w:szCs w:val="24"/>
        </w:rPr>
      </w:pPr>
    </w:p>
    <w:p w:rsidR="00F279EA" w:rsidRPr="00F279EA" w:rsidRDefault="00F279EA" w:rsidP="000513FE">
      <w:pPr>
        <w:jc w:val="both"/>
        <w:rPr>
          <w:rFonts w:cs="Times New Roman"/>
          <w:szCs w:val="24"/>
        </w:rPr>
      </w:pPr>
      <w:r w:rsidRPr="00F279EA">
        <w:rPr>
          <w:rFonts w:cs="Times New Roman"/>
          <w:szCs w:val="24"/>
        </w:rPr>
        <w:t>Volíme takový distribuční systém, jenž má minimální dopad na životní prostředí. Naše obchodní operace musí splňovat, či převyšovat obecná pravidla a směrnice.</w:t>
      </w:r>
    </w:p>
    <w:p w:rsidR="00F279EA" w:rsidRPr="00F279EA" w:rsidRDefault="00F279EA" w:rsidP="000513FE">
      <w:pPr>
        <w:jc w:val="both"/>
        <w:rPr>
          <w:rFonts w:cs="Times New Roman"/>
          <w:szCs w:val="24"/>
        </w:rPr>
      </w:pPr>
    </w:p>
    <w:p w:rsidR="00F279EA" w:rsidRPr="00F279EA" w:rsidRDefault="00F279EA" w:rsidP="000513FE">
      <w:pPr>
        <w:jc w:val="both"/>
        <w:rPr>
          <w:rFonts w:cs="Times New Roman"/>
          <w:szCs w:val="24"/>
        </w:rPr>
      </w:pPr>
      <w:r w:rsidRPr="00F279EA">
        <w:rPr>
          <w:rFonts w:cs="Times New Roman"/>
          <w:szCs w:val="24"/>
        </w:rPr>
        <w:t>Naším cílem je podpora používání kvalitních trhavin a bezdýmných prachů ve všech procesech za účelem dosažení možného nejmenšího vlivu na životní prostředí.</w:t>
      </w:r>
    </w:p>
    <w:p w:rsidR="00F279EA" w:rsidRPr="00F279EA" w:rsidRDefault="00F279EA" w:rsidP="000513FE">
      <w:pPr>
        <w:jc w:val="both"/>
        <w:rPr>
          <w:rFonts w:cs="Times New Roman"/>
          <w:szCs w:val="24"/>
        </w:rPr>
      </w:pPr>
    </w:p>
    <w:p w:rsidR="00F279EA" w:rsidRPr="00F279EA" w:rsidRDefault="00F279EA" w:rsidP="000513FE">
      <w:pPr>
        <w:jc w:val="both"/>
        <w:rPr>
          <w:rFonts w:cs="Times New Roman"/>
          <w:szCs w:val="24"/>
        </w:rPr>
      </w:pPr>
      <w:r w:rsidRPr="00F279EA">
        <w:rPr>
          <w:rFonts w:cs="Times New Roman"/>
          <w:szCs w:val="24"/>
        </w:rPr>
        <w:t>Aktivně podporujeme neustálé zlepšování integrovaného systému managementu našimi zaměstnanci a jejich angažovanost.</w:t>
      </w:r>
    </w:p>
    <w:p w:rsidR="00F279EA" w:rsidRPr="00F279EA" w:rsidRDefault="00F279EA" w:rsidP="000513FE">
      <w:pPr>
        <w:jc w:val="both"/>
        <w:rPr>
          <w:rFonts w:cs="Times New Roman"/>
          <w:szCs w:val="24"/>
        </w:rPr>
      </w:pPr>
    </w:p>
    <w:p w:rsidR="00F279EA" w:rsidRPr="00F279EA" w:rsidRDefault="00F279EA" w:rsidP="000513FE">
      <w:pPr>
        <w:jc w:val="both"/>
        <w:rPr>
          <w:rFonts w:cs="Times New Roman"/>
          <w:szCs w:val="24"/>
        </w:rPr>
      </w:pPr>
      <w:r w:rsidRPr="00F279EA">
        <w:rPr>
          <w:rFonts w:cs="Times New Roman"/>
          <w:szCs w:val="24"/>
        </w:rPr>
        <w:t>Dodržování legislativy je minimálním standardem a samozřejmou součástí při všech činnostech. Zvyšování odpovědnosti za ochranu zdraví, bezpečnost práce a snižování dopadů na životní prostředí jsou trendem všech činností i provedení výrobků.</w:t>
      </w:r>
    </w:p>
    <w:p w:rsidR="00F279EA" w:rsidRPr="00F279EA" w:rsidRDefault="00F279EA" w:rsidP="000513FE">
      <w:pPr>
        <w:jc w:val="both"/>
        <w:rPr>
          <w:rFonts w:cs="Times New Roman"/>
          <w:szCs w:val="24"/>
        </w:rPr>
      </w:pPr>
    </w:p>
    <w:p w:rsidR="00F279EA" w:rsidRPr="00F279EA" w:rsidRDefault="00F279EA" w:rsidP="000513FE">
      <w:pPr>
        <w:jc w:val="both"/>
        <w:rPr>
          <w:rFonts w:cs="Times New Roman"/>
          <w:szCs w:val="24"/>
        </w:rPr>
      </w:pPr>
      <w:r w:rsidRPr="00F279EA">
        <w:rPr>
          <w:rFonts w:cs="Times New Roman"/>
          <w:szCs w:val="24"/>
        </w:rPr>
        <w:t>Všichni zaměstnanci splňují kvalifikační předpoklady. Jsou vytvářeny podmínky pro stálé zvyšování znalostí v oblasti technologie, ochrany zdraví, bezpečnosti a životního prostředí, stejně tak pro osobní angažovanost při plnění úkolů, vyplývajících z politiky společnosti.</w:t>
      </w:r>
    </w:p>
    <w:p w:rsidR="00F279EA" w:rsidRPr="00F279EA" w:rsidRDefault="00F279EA" w:rsidP="000513FE">
      <w:pPr>
        <w:pStyle w:val="Zkladntext21"/>
        <w:overflowPunct/>
        <w:textAlignment w:val="auto"/>
        <w:rPr>
          <w:rFonts w:ascii="Times New Roman" w:hAnsi="Times New Roman"/>
          <w:szCs w:val="24"/>
        </w:rPr>
      </w:pPr>
    </w:p>
    <w:p w:rsidR="00F279EA" w:rsidRPr="00F279EA" w:rsidRDefault="00F279EA" w:rsidP="000513FE">
      <w:pPr>
        <w:jc w:val="both"/>
        <w:rPr>
          <w:rFonts w:cs="Times New Roman"/>
          <w:szCs w:val="24"/>
        </w:rPr>
      </w:pPr>
      <w:r w:rsidRPr="00F279EA">
        <w:rPr>
          <w:rFonts w:cs="Times New Roman"/>
          <w:szCs w:val="24"/>
        </w:rPr>
        <w:t>Naši zákazníci a distributoři jsou schopni používat, přepravovat a manipulovat s našimi výrobky zodpovědným způsobem ohleduplným k životnímu prostředí.</w:t>
      </w:r>
    </w:p>
    <w:p w:rsidR="00F279EA" w:rsidRPr="00F279EA" w:rsidRDefault="00F279EA" w:rsidP="000513FE">
      <w:pPr>
        <w:jc w:val="both"/>
        <w:rPr>
          <w:rFonts w:cs="Times New Roman"/>
          <w:szCs w:val="24"/>
        </w:rPr>
      </w:pPr>
    </w:p>
    <w:p w:rsidR="00F279EA" w:rsidRDefault="00F279EA" w:rsidP="000513FE">
      <w:pPr>
        <w:jc w:val="both"/>
        <w:rPr>
          <w:rFonts w:cs="Times New Roman"/>
          <w:szCs w:val="24"/>
        </w:rPr>
      </w:pPr>
      <w:r w:rsidRPr="00F279EA">
        <w:rPr>
          <w:rFonts w:cs="Times New Roman"/>
          <w:szCs w:val="24"/>
        </w:rPr>
        <w:t>Otevřenou komunikací průběžně informujeme své obchodní partnery, zákazníky a veřejnost o vlivu našich výrobků a procesů na životní prostředí. Naše podnikání je charakterizováno otevřeným přístupem tak, aby otevřená vnější komunikace mohla být završena vydáním roční zpráv</w:t>
      </w:r>
      <w:r>
        <w:rPr>
          <w:rFonts w:cs="Times New Roman"/>
          <w:szCs w:val="24"/>
        </w:rPr>
        <w:t>y o vlivu na životní prostředí.</w:t>
      </w:r>
    </w:p>
    <w:p w:rsidR="00F279EA" w:rsidRDefault="00F279EA" w:rsidP="000513FE">
      <w:pPr>
        <w:jc w:val="both"/>
        <w:rPr>
          <w:rFonts w:cs="Times New Roman"/>
          <w:szCs w:val="24"/>
        </w:rPr>
      </w:pPr>
    </w:p>
    <w:p w:rsidR="00F279EA" w:rsidRPr="00F279EA" w:rsidRDefault="00F279EA" w:rsidP="000513FE">
      <w:pPr>
        <w:jc w:val="both"/>
        <w:rPr>
          <w:rFonts w:cs="Times New Roman"/>
          <w:szCs w:val="24"/>
        </w:rPr>
      </w:pPr>
    </w:p>
    <w:p w:rsidR="00F279EA" w:rsidRPr="00F279EA" w:rsidRDefault="00F279EA" w:rsidP="000513FE">
      <w:pPr>
        <w:jc w:val="both"/>
        <w:rPr>
          <w:rFonts w:cs="Times New Roman"/>
          <w:szCs w:val="24"/>
        </w:rPr>
      </w:pPr>
      <w:r w:rsidRPr="00F279EA">
        <w:rPr>
          <w:rFonts w:cs="Times New Roman"/>
          <w:szCs w:val="24"/>
        </w:rPr>
        <w:t>V Semtíně dne 14.</w:t>
      </w:r>
      <w:r>
        <w:rPr>
          <w:rFonts w:cs="Times New Roman"/>
          <w:szCs w:val="24"/>
        </w:rPr>
        <w:t xml:space="preserve"> </w:t>
      </w:r>
      <w:r w:rsidRPr="00F279EA">
        <w:rPr>
          <w:rFonts w:cs="Times New Roman"/>
          <w:szCs w:val="24"/>
        </w:rPr>
        <w:t>6.</w:t>
      </w:r>
      <w:r>
        <w:rPr>
          <w:rFonts w:cs="Times New Roman"/>
          <w:szCs w:val="24"/>
        </w:rPr>
        <w:t xml:space="preserve"> </w:t>
      </w:r>
      <w:r w:rsidRPr="00F279EA">
        <w:rPr>
          <w:rFonts w:cs="Times New Roman"/>
          <w:szCs w:val="24"/>
        </w:rPr>
        <w:t xml:space="preserve">2019 </w:t>
      </w:r>
    </w:p>
    <w:p w:rsidR="00F279EA" w:rsidRPr="00F279EA" w:rsidRDefault="00F279EA" w:rsidP="000513FE">
      <w:pPr>
        <w:jc w:val="both"/>
        <w:rPr>
          <w:rFonts w:cs="Times New Roman"/>
          <w:szCs w:val="24"/>
        </w:rPr>
      </w:pPr>
    </w:p>
    <w:p w:rsidR="00F279EA" w:rsidRPr="00F279EA" w:rsidRDefault="00F279EA" w:rsidP="000513FE">
      <w:pPr>
        <w:jc w:val="both"/>
        <w:rPr>
          <w:rFonts w:cs="Times New Roman"/>
          <w:szCs w:val="24"/>
        </w:rPr>
      </w:pPr>
    </w:p>
    <w:p w:rsidR="00F279EA" w:rsidRPr="00F279EA" w:rsidRDefault="00F279EA" w:rsidP="000513FE">
      <w:pPr>
        <w:ind w:right="425"/>
        <w:jc w:val="right"/>
        <w:rPr>
          <w:rFonts w:cs="Times New Roman"/>
          <w:szCs w:val="24"/>
        </w:rPr>
      </w:pPr>
      <w:r w:rsidRPr="00F279EA">
        <w:rPr>
          <w:rFonts w:cs="Times New Roman"/>
          <w:szCs w:val="24"/>
        </w:rPr>
        <w:t>Ing. Josef Tichý,</w:t>
      </w:r>
      <w:r>
        <w:rPr>
          <w:rFonts w:cs="Times New Roman"/>
          <w:szCs w:val="24"/>
        </w:rPr>
        <w:t xml:space="preserve"> </w:t>
      </w:r>
      <w:r w:rsidRPr="00F279EA">
        <w:rPr>
          <w:rFonts w:cs="Times New Roman"/>
          <w:szCs w:val="24"/>
        </w:rPr>
        <w:t>CSc.</w:t>
      </w:r>
    </w:p>
    <w:p w:rsidR="00F279EA" w:rsidRDefault="00F279EA" w:rsidP="000513FE">
      <w:pPr>
        <w:ind w:right="425"/>
        <w:jc w:val="right"/>
        <w:rPr>
          <w:rFonts w:cs="Times New Roman"/>
          <w:szCs w:val="24"/>
        </w:rPr>
      </w:pPr>
      <w:r w:rsidRPr="00F279EA">
        <w:rPr>
          <w:rFonts w:cs="Times New Roman"/>
          <w:szCs w:val="24"/>
        </w:rPr>
        <w:t>generální ředitel</w:t>
      </w:r>
    </w:p>
    <w:p w:rsidR="00E345F0" w:rsidRDefault="00E345F0" w:rsidP="000513FE">
      <w:pPr>
        <w:jc w:val="both"/>
        <w:rPr>
          <w:rFonts w:cs="Times New Roman"/>
          <w:szCs w:val="24"/>
        </w:rPr>
      </w:pPr>
    </w:p>
    <w:p w:rsidR="00F279EA" w:rsidRDefault="00F279EA" w:rsidP="000513FE">
      <w:pPr>
        <w:jc w:val="both"/>
        <w:rPr>
          <w:rFonts w:cs="Times New Roman"/>
          <w:szCs w:val="24"/>
        </w:rPr>
      </w:pPr>
    </w:p>
    <w:p w:rsidR="00F279EA" w:rsidRDefault="00F279EA" w:rsidP="000513FE">
      <w:pPr>
        <w:pStyle w:val="Nadpis1"/>
        <w:jc w:val="both"/>
      </w:pPr>
      <w:r>
        <w:t>PROFIL SPOLEČNOSTI</w:t>
      </w:r>
    </w:p>
    <w:p w:rsidR="00396051" w:rsidRDefault="00396051" w:rsidP="000513FE"/>
    <w:p w:rsidR="00F279EA" w:rsidRDefault="00F279EA" w:rsidP="000513FE">
      <w:pPr>
        <w:pStyle w:val="Nadpis2"/>
        <w:jc w:val="both"/>
      </w:pPr>
      <w:r>
        <w:t>Historie</w:t>
      </w:r>
    </w:p>
    <w:p w:rsidR="00F279EA" w:rsidRDefault="00F279EA" w:rsidP="000513FE">
      <w:pPr>
        <w:spacing w:line="276" w:lineRule="auto"/>
        <w:jc w:val="both"/>
      </w:pPr>
      <w:r w:rsidRPr="00F279EA">
        <w:t>V roce 1920 byla v Praze založena Československá akciová továrna na výrobu výbušnin, která v roce 1934 přijala název Explo</w:t>
      </w:r>
      <w:r w:rsidR="00396051">
        <w:t xml:space="preserve">sia. V roce 1958 byla Explosia </w:t>
      </w:r>
      <w:r w:rsidRPr="00F279EA">
        <w:t xml:space="preserve">a.s. sloučena s ostatními závody (Synthesia, Rybitví, UMA) do národního podniku Východočeské chemické závody (VCHZ </w:t>
      </w:r>
      <w:proofErr w:type="spellStart"/>
      <w:r w:rsidRPr="00F279EA">
        <w:t>n.p</w:t>
      </w:r>
      <w:proofErr w:type="spellEnd"/>
      <w:r w:rsidRPr="00F279EA">
        <w:t>.), který byl k 1.1.1994 na základě privatizačního projektu transformován na SYNTHESIA a.s.</w:t>
      </w:r>
    </w:p>
    <w:p w:rsidR="00F279EA" w:rsidRPr="00F279EA" w:rsidRDefault="00F279EA" w:rsidP="000513FE">
      <w:pPr>
        <w:spacing w:line="276" w:lineRule="auto"/>
        <w:jc w:val="both"/>
      </w:pPr>
      <w:r w:rsidRPr="00F279EA">
        <w:t>V prosinci 1998 byla SYNTHESIA a.s. přej</w:t>
      </w:r>
      <w:r>
        <w:t xml:space="preserve">menována na společnost </w:t>
      </w:r>
      <w:proofErr w:type="spellStart"/>
      <w:r>
        <w:t>AliaChem</w:t>
      </w:r>
      <w:proofErr w:type="spellEnd"/>
      <w:r>
        <w:t xml:space="preserve"> </w:t>
      </w:r>
      <w:r w:rsidRPr="00F279EA">
        <w:t xml:space="preserve">a.s., která se stala jejím právním nástupcem. Návazně na tuto změnu byl 22. 3. 1999 zapsán do obchodního rejstříku </w:t>
      </w:r>
      <w:proofErr w:type="spellStart"/>
      <w:r w:rsidRPr="00F279EA">
        <w:t>AliaChem</w:t>
      </w:r>
      <w:proofErr w:type="spellEnd"/>
      <w:r w:rsidRPr="00F279EA">
        <w:t xml:space="preserve"> a.s., odštěpný závod Synthesia, který zahrnoval ve své struktuře Výrobně obchodní jednotku (VOJ) Explosia. V návaznosti na připravovanou privatizaci </w:t>
      </w:r>
      <w:proofErr w:type="spellStart"/>
      <w:r w:rsidRPr="00F279EA">
        <w:t>AliaChem</w:t>
      </w:r>
      <w:proofErr w:type="spellEnd"/>
      <w:r w:rsidRPr="00F279EA">
        <w:t xml:space="preserve"> a.s., došlo v roce 2002 (1. 6. 2002) k opětovnému vyčlenění majetku VOJ Explosia z </w:t>
      </w:r>
      <w:proofErr w:type="spellStart"/>
      <w:r w:rsidRPr="00F279EA">
        <w:t>AliaChem</w:t>
      </w:r>
      <w:proofErr w:type="spellEnd"/>
      <w:r w:rsidRPr="00F279EA">
        <w:t xml:space="preserve"> a.s., OZ Synthesia a nová firma je opět registrována jako Explosia a.</w:t>
      </w:r>
      <w:r>
        <w:t>s., se sídlem Pardubice-Semtín.</w:t>
      </w:r>
    </w:p>
    <w:p w:rsidR="00F279EA" w:rsidRDefault="00F279EA" w:rsidP="000513FE">
      <w:pPr>
        <w:rPr>
          <w:rFonts w:ascii="Arial,BoldItalic" w:hAnsi="Arial,BoldItalic"/>
          <w:b/>
          <w:bCs/>
          <w:i/>
          <w:iCs/>
          <w:szCs w:val="24"/>
        </w:rPr>
      </w:pPr>
    </w:p>
    <w:p w:rsidR="00F279EA" w:rsidRDefault="00F279EA" w:rsidP="000513FE">
      <w:pPr>
        <w:pStyle w:val="Nadpis2"/>
      </w:pPr>
      <w:r>
        <w:t>Výrobní program</w:t>
      </w:r>
    </w:p>
    <w:p w:rsidR="00F279EA" w:rsidRDefault="00F279EA" w:rsidP="000513FE">
      <w:pPr>
        <w:rPr>
          <w:rFonts w:ascii="Arial,BoldItalic" w:hAnsi="Arial,BoldItalic"/>
          <w:b/>
          <w:bCs/>
          <w:i/>
          <w:iCs/>
          <w:szCs w:val="24"/>
        </w:rPr>
      </w:pPr>
    </w:p>
    <w:p w:rsidR="00F279EA" w:rsidRPr="00F279EA" w:rsidRDefault="00F279EA" w:rsidP="000513FE">
      <w:pPr>
        <w:spacing w:line="276" w:lineRule="auto"/>
        <w:rPr>
          <w:rFonts w:cs="Times New Roman"/>
          <w:szCs w:val="24"/>
        </w:rPr>
      </w:pPr>
      <w:r w:rsidRPr="00F279EA">
        <w:rPr>
          <w:rFonts w:cs="Times New Roman"/>
          <w:szCs w:val="24"/>
        </w:rPr>
        <w:t>Průmyslové trhaviny sypké (</w:t>
      </w:r>
      <w:proofErr w:type="spellStart"/>
      <w:r w:rsidRPr="00F279EA">
        <w:rPr>
          <w:rFonts w:cs="Times New Roman"/>
          <w:szCs w:val="24"/>
        </w:rPr>
        <w:t>Permonex</w:t>
      </w:r>
      <w:proofErr w:type="spellEnd"/>
      <w:r w:rsidRPr="00F279EA">
        <w:rPr>
          <w:rFonts w:cs="Times New Roman"/>
          <w:szCs w:val="24"/>
        </w:rPr>
        <w:t xml:space="preserve"> V19, </w:t>
      </w:r>
      <w:proofErr w:type="spellStart"/>
      <w:r w:rsidRPr="00F279EA">
        <w:rPr>
          <w:rFonts w:cs="Times New Roman"/>
          <w:szCs w:val="24"/>
        </w:rPr>
        <w:t>Permon</w:t>
      </w:r>
      <w:proofErr w:type="spellEnd"/>
      <w:r w:rsidRPr="00F279EA">
        <w:rPr>
          <w:rFonts w:cs="Times New Roman"/>
          <w:szCs w:val="24"/>
        </w:rPr>
        <w:t xml:space="preserve"> </w:t>
      </w:r>
      <w:proofErr w:type="gramStart"/>
      <w:r w:rsidRPr="00F279EA">
        <w:rPr>
          <w:rFonts w:cs="Times New Roman"/>
          <w:szCs w:val="24"/>
        </w:rPr>
        <w:t>10T</w:t>
      </w:r>
      <w:proofErr w:type="gramEnd"/>
      <w:r w:rsidRPr="00F279EA">
        <w:rPr>
          <w:rFonts w:cs="Times New Roman"/>
          <w:szCs w:val="24"/>
        </w:rPr>
        <w:t>)</w:t>
      </w:r>
    </w:p>
    <w:p w:rsidR="00F279EA" w:rsidRPr="00F279EA" w:rsidRDefault="00F279EA" w:rsidP="000513FE">
      <w:pPr>
        <w:spacing w:line="276" w:lineRule="auto"/>
        <w:rPr>
          <w:rFonts w:cs="Times New Roman"/>
          <w:szCs w:val="24"/>
        </w:rPr>
      </w:pPr>
      <w:r w:rsidRPr="00F279EA">
        <w:rPr>
          <w:rFonts w:cs="Times New Roman"/>
          <w:szCs w:val="24"/>
        </w:rPr>
        <w:t xml:space="preserve">Průmyslové trhaviny želatinované </w:t>
      </w:r>
      <w:proofErr w:type="spellStart"/>
      <w:r w:rsidRPr="00F279EA">
        <w:rPr>
          <w:rFonts w:cs="Times New Roman"/>
          <w:szCs w:val="24"/>
        </w:rPr>
        <w:t>nitroglyceroglykolem</w:t>
      </w:r>
      <w:proofErr w:type="spellEnd"/>
      <w:r w:rsidRPr="00F279EA">
        <w:rPr>
          <w:rFonts w:cs="Times New Roman"/>
          <w:szCs w:val="24"/>
        </w:rPr>
        <w:t xml:space="preserve"> (</w:t>
      </w:r>
      <w:proofErr w:type="spellStart"/>
      <w:r w:rsidRPr="00F279EA">
        <w:rPr>
          <w:rFonts w:cs="Times New Roman"/>
          <w:szCs w:val="24"/>
        </w:rPr>
        <w:t>Perunit</w:t>
      </w:r>
      <w:proofErr w:type="spellEnd"/>
      <w:r w:rsidRPr="00F279EA">
        <w:rPr>
          <w:rFonts w:cs="Times New Roman"/>
          <w:szCs w:val="24"/>
        </w:rPr>
        <w:t xml:space="preserve"> 28 E, </w:t>
      </w:r>
      <w:proofErr w:type="spellStart"/>
      <w:r w:rsidRPr="00F279EA">
        <w:rPr>
          <w:rFonts w:cs="Times New Roman"/>
          <w:szCs w:val="24"/>
        </w:rPr>
        <w:t>Perunit</w:t>
      </w:r>
      <w:proofErr w:type="spellEnd"/>
      <w:r w:rsidRPr="00F279EA">
        <w:rPr>
          <w:rFonts w:cs="Times New Roman"/>
          <w:szCs w:val="24"/>
        </w:rPr>
        <w:t xml:space="preserve"> E)</w:t>
      </w:r>
    </w:p>
    <w:p w:rsidR="00F279EA" w:rsidRPr="00F279EA" w:rsidRDefault="00F279EA" w:rsidP="000513FE">
      <w:pPr>
        <w:spacing w:line="276" w:lineRule="auto"/>
        <w:rPr>
          <w:rFonts w:cs="Times New Roman"/>
          <w:szCs w:val="24"/>
        </w:rPr>
      </w:pPr>
      <w:r w:rsidRPr="002D359B">
        <w:rPr>
          <w:rFonts w:cs="Times New Roman"/>
          <w:szCs w:val="24"/>
        </w:rPr>
        <w:t>Důlně bezpečné trhaviny (</w:t>
      </w:r>
      <w:r w:rsidR="002D359B" w:rsidRPr="002D359B">
        <w:rPr>
          <w:rFonts w:cs="Times New Roman"/>
          <w:szCs w:val="24"/>
        </w:rPr>
        <w:t>Slavit V,</w:t>
      </w:r>
      <w:r w:rsidRPr="002D359B">
        <w:rPr>
          <w:rFonts w:cs="Times New Roman"/>
          <w:szCs w:val="24"/>
        </w:rPr>
        <w:t xml:space="preserve"> </w:t>
      </w:r>
      <w:proofErr w:type="spellStart"/>
      <w:r w:rsidRPr="002D359B">
        <w:rPr>
          <w:rFonts w:cs="Times New Roman"/>
          <w:szCs w:val="24"/>
        </w:rPr>
        <w:t>Ostravit</w:t>
      </w:r>
      <w:proofErr w:type="spellEnd"/>
      <w:r w:rsidRPr="002D359B">
        <w:rPr>
          <w:rFonts w:cs="Times New Roman"/>
          <w:szCs w:val="24"/>
        </w:rPr>
        <w:t xml:space="preserve"> C)</w:t>
      </w:r>
    </w:p>
    <w:p w:rsidR="00F279EA" w:rsidRPr="00F279EA" w:rsidRDefault="00F279EA" w:rsidP="000513FE">
      <w:pPr>
        <w:spacing w:line="276" w:lineRule="auto"/>
        <w:rPr>
          <w:rFonts w:cs="Times New Roman"/>
          <w:szCs w:val="24"/>
        </w:rPr>
      </w:pPr>
      <w:r w:rsidRPr="00F279EA">
        <w:rPr>
          <w:rFonts w:cs="Times New Roman"/>
          <w:szCs w:val="24"/>
        </w:rPr>
        <w:t>Průmyslové trhaviny emulzního typu (</w:t>
      </w:r>
      <w:proofErr w:type="spellStart"/>
      <w:r w:rsidRPr="00F279EA">
        <w:rPr>
          <w:rFonts w:cs="Times New Roman"/>
          <w:szCs w:val="24"/>
        </w:rPr>
        <w:t>Emsit</w:t>
      </w:r>
      <w:proofErr w:type="spellEnd"/>
      <w:r w:rsidRPr="00F279EA">
        <w:rPr>
          <w:rFonts w:cs="Times New Roman"/>
          <w:szCs w:val="24"/>
        </w:rPr>
        <w:t xml:space="preserve"> M, </w:t>
      </w:r>
      <w:proofErr w:type="spellStart"/>
      <w:r w:rsidRPr="00F279EA">
        <w:rPr>
          <w:rFonts w:cs="Times New Roman"/>
          <w:szCs w:val="24"/>
        </w:rPr>
        <w:t>Emsit</w:t>
      </w:r>
      <w:proofErr w:type="spellEnd"/>
      <w:r w:rsidRPr="00F279EA">
        <w:rPr>
          <w:rFonts w:cs="Times New Roman"/>
          <w:szCs w:val="24"/>
        </w:rPr>
        <w:t xml:space="preserve"> 1, </w:t>
      </w:r>
      <w:proofErr w:type="spellStart"/>
      <w:r w:rsidRPr="00F279EA">
        <w:rPr>
          <w:rFonts w:cs="Times New Roman"/>
          <w:szCs w:val="24"/>
        </w:rPr>
        <w:t>Emsit</w:t>
      </w:r>
      <w:proofErr w:type="spellEnd"/>
      <w:r w:rsidRPr="00F279EA">
        <w:rPr>
          <w:rFonts w:cs="Times New Roman"/>
          <w:szCs w:val="24"/>
        </w:rPr>
        <w:t xml:space="preserve"> V)</w:t>
      </w:r>
    </w:p>
    <w:p w:rsidR="00F279EA" w:rsidRPr="00F279EA" w:rsidRDefault="00F279EA" w:rsidP="000513FE">
      <w:pPr>
        <w:spacing w:line="276" w:lineRule="auto"/>
        <w:rPr>
          <w:rFonts w:cs="Times New Roman"/>
          <w:szCs w:val="24"/>
        </w:rPr>
      </w:pPr>
      <w:r w:rsidRPr="00F279EA">
        <w:rPr>
          <w:rFonts w:cs="Times New Roman"/>
          <w:szCs w:val="24"/>
        </w:rPr>
        <w:t>Průmyslové trhaviny pro zvláštní užití (Semtex 1 A, Semtex 1 H, Semtex 10SE)</w:t>
      </w:r>
    </w:p>
    <w:p w:rsidR="00F279EA" w:rsidRPr="00F279EA" w:rsidRDefault="00F279EA" w:rsidP="000513FE">
      <w:pPr>
        <w:spacing w:line="276" w:lineRule="auto"/>
        <w:rPr>
          <w:rFonts w:cs="Times New Roman"/>
          <w:szCs w:val="24"/>
        </w:rPr>
      </w:pPr>
      <w:r w:rsidRPr="00F279EA">
        <w:rPr>
          <w:rFonts w:cs="Times New Roman"/>
          <w:szCs w:val="24"/>
        </w:rPr>
        <w:t>Bleskovice (</w:t>
      </w:r>
      <w:proofErr w:type="spellStart"/>
      <w:r w:rsidRPr="00F279EA">
        <w:rPr>
          <w:rFonts w:cs="Times New Roman"/>
          <w:szCs w:val="24"/>
        </w:rPr>
        <w:t>Startline</w:t>
      </w:r>
      <w:proofErr w:type="spellEnd"/>
      <w:r w:rsidRPr="00F279EA">
        <w:rPr>
          <w:rFonts w:cs="Times New Roman"/>
          <w:szCs w:val="24"/>
        </w:rPr>
        <w:t>)</w:t>
      </w:r>
    </w:p>
    <w:p w:rsidR="00F279EA" w:rsidRPr="00F279EA" w:rsidRDefault="00F279EA" w:rsidP="000513FE">
      <w:pPr>
        <w:spacing w:line="276" w:lineRule="auto"/>
        <w:rPr>
          <w:rFonts w:cs="Times New Roman"/>
          <w:szCs w:val="24"/>
        </w:rPr>
      </w:pPr>
      <w:proofErr w:type="spellStart"/>
      <w:r w:rsidRPr="00F279EA">
        <w:rPr>
          <w:rFonts w:cs="Times New Roman"/>
          <w:szCs w:val="24"/>
        </w:rPr>
        <w:t>Pentrit</w:t>
      </w:r>
      <w:proofErr w:type="spellEnd"/>
      <w:r w:rsidRPr="00F279EA">
        <w:rPr>
          <w:rFonts w:cs="Times New Roman"/>
          <w:szCs w:val="24"/>
        </w:rPr>
        <w:t xml:space="preserve"> a </w:t>
      </w:r>
      <w:proofErr w:type="spellStart"/>
      <w:r w:rsidRPr="00F279EA">
        <w:rPr>
          <w:rFonts w:cs="Times New Roman"/>
          <w:szCs w:val="24"/>
        </w:rPr>
        <w:t>Pentritol</w:t>
      </w:r>
      <w:proofErr w:type="spellEnd"/>
    </w:p>
    <w:p w:rsidR="00F279EA" w:rsidRPr="00F279EA" w:rsidRDefault="00F279EA" w:rsidP="000513FE">
      <w:pPr>
        <w:spacing w:line="276" w:lineRule="auto"/>
        <w:rPr>
          <w:rFonts w:cs="Times New Roman"/>
          <w:szCs w:val="24"/>
        </w:rPr>
      </w:pPr>
      <w:r w:rsidRPr="00F279EA">
        <w:rPr>
          <w:rFonts w:cs="Times New Roman"/>
          <w:szCs w:val="24"/>
        </w:rPr>
        <w:t>Černý prach (</w:t>
      </w:r>
      <w:proofErr w:type="spellStart"/>
      <w:r w:rsidRPr="00F279EA">
        <w:rPr>
          <w:rFonts w:cs="Times New Roman"/>
          <w:szCs w:val="24"/>
        </w:rPr>
        <w:t>Vesuvit</w:t>
      </w:r>
      <w:proofErr w:type="spellEnd"/>
      <w:r w:rsidRPr="00F279EA">
        <w:rPr>
          <w:rFonts w:cs="Times New Roman"/>
          <w:szCs w:val="24"/>
        </w:rPr>
        <w:t>)</w:t>
      </w:r>
    </w:p>
    <w:p w:rsidR="00F279EA" w:rsidRPr="00F279EA" w:rsidRDefault="002D359B" w:rsidP="000513FE">
      <w:pPr>
        <w:spacing w:line="276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Trinitrorezorcin</w:t>
      </w:r>
      <w:proofErr w:type="spellEnd"/>
    </w:p>
    <w:p w:rsidR="00F279EA" w:rsidRPr="00F279EA" w:rsidRDefault="00F279EA" w:rsidP="000513FE">
      <w:pPr>
        <w:spacing w:line="276" w:lineRule="auto"/>
        <w:rPr>
          <w:rFonts w:cs="Times New Roman"/>
          <w:szCs w:val="24"/>
        </w:rPr>
      </w:pPr>
      <w:r w:rsidRPr="00F279EA">
        <w:rPr>
          <w:rFonts w:cs="Times New Roman"/>
          <w:szCs w:val="24"/>
        </w:rPr>
        <w:t>Bezdýmné prachy jednosložkové (</w:t>
      </w:r>
      <w:proofErr w:type="spellStart"/>
      <w:r w:rsidRPr="00F279EA">
        <w:rPr>
          <w:rFonts w:cs="Times New Roman"/>
          <w:szCs w:val="24"/>
        </w:rPr>
        <w:t>Lovex</w:t>
      </w:r>
      <w:proofErr w:type="spellEnd"/>
      <w:r w:rsidRPr="00F279EA">
        <w:rPr>
          <w:rFonts w:cs="Times New Roman"/>
          <w:szCs w:val="24"/>
        </w:rPr>
        <w:t xml:space="preserve"> S)</w:t>
      </w:r>
    </w:p>
    <w:p w:rsidR="00F279EA" w:rsidRPr="00F279EA" w:rsidRDefault="00F279EA" w:rsidP="000513FE">
      <w:pPr>
        <w:spacing w:line="276" w:lineRule="auto"/>
        <w:jc w:val="both"/>
        <w:rPr>
          <w:rFonts w:cs="Times New Roman"/>
          <w:szCs w:val="24"/>
        </w:rPr>
      </w:pPr>
      <w:r w:rsidRPr="00F279EA">
        <w:rPr>
          <w:rFonts w:cs="Times New Roman"/>
          <w:szCs w:val="24"/>
        </w:rPr>
        <w:t>Bezdýmné prachy dvousložkové (</w:t>
      </w:r>
      <w:proofErr w:type="spellStart"/>
      <w:r w:rsidRPr="00F279EA">
        <w:rPr>
          <w:rFonts w:cs="Times New Roman"/>
          <w:szCs w:val="24"/>
        </w:rPr>
        <w:t>Lovex</w:t>
      </w:r>
      <w:proofErr w:type="spellEnd"/>
      <w:r w:rsidRPr="00F279EA">
        <w:rPr>
          <w:rFonts w:cs="Times New Roman"/>
          <w:szCs w:val="24"/>
        </w:rPr>
        <w:t xml:space="preserve"> D)</w:t>
      </w:r>
    </w:p>
    <w:p w:rsidR="00F279EA" w:rsidRPr="00F279EA" w:rsidRDefault="00F279EA" w:rsidP="000513FE">
      <w:pPr>
        <w:spacing w:line="276" w:lineRule="auto"/>
        <w:jc w:val="both"/>
        <w:rPr>
          <w:rFonts w:cs="Times New Roman"/>
          <w:szCs w:val="24"/>
        </w:rPr>
      </w:pPr>
    </w:p>
    <w:p w:rsidR="00F279EA" w:rsidRPr="00F279EA" w:rsidRDefault="00F279EA" w:rsidP="000513FE">
      <w:pPr>
        <w:pStyle w:val="Zkladntext21"/>
        <w:overflowPunct/>
        <w:spacing w:line="276" w:lineRule="auto"/>
        <w:textAlignment w:val="auto"/>
        <w:rPr>
          <w:rFonts w:ascii="Times New Roman" w:hAnsi="Times New Roman"/>
          <w:szCs w:val="24"/>
        </w:rPr>
      </w:pPr>
      <w:r w:rsidRPr="00F279EA">
        <w:rPr>
          <w:rFonts w:ascii="Times New Roman" w:hAnsi="Times New Roman"/>
          <w:szCs w:val="24"/>
        </w:rPr>
        <w:lastRenderedPageBreak/>
        <w:t>Letecké záchranné systémy pro letouny AERO L-39, L-59 a L-159, zejména raketové motory URM sloužící k urychlení záchranné sedačky pilota při katapultáži, raketový motor ROP určený k odhozu překrytu kabiny letoun</w:t>
      </w:r>
      <w:r>
        <w:rPr>
          <w:rFonts w:ascii="Times New Roman" w:hAnsi="Times New Roman"/>
          <w:szCs w:val="24"/>
        </w:rPr>
        <w:t>u a ostatní typy pyrotechnických prostředků.</w:t>
      </w:r>
    </w:p>
    <w:p w:rsidR="00F279EA" w:rsidRDefault="00F279EA" w:rsidP="000513FE">
      <w:pPr>
        <w:spacing w:line="276" w:lineRule="auto"/>
        <w:jc w:val="both"/>
        <w:rPr>
          <w:rFonts w:cs="Times New Roman"/>
          <w:szCs w:val="24"/>
        </w:rPr>
      </w:pPr>
    </w:p>
    <w:p w:rsidR="00F279EA" w:rsidRPr="00F279EA" w:rsidRDefault="00F279EA" w:rsidP="000513FE">
      <w:pPr>
        <w:spacing w:line="276" w:lineRule="auto"/>
        <w:jc w:val="both"/>
        <w:rPr>
          <w:rFonts w:cs="Times New Roman"/>
          <w:szCs w:val="24"/>
        </w:rPr>
      </w:pPr>
      <w:r w:rsidRPr="00F279EA">
        <w:rPr>
          <w:rFonts w:cs="Times New Roman"/>
          <w:szCs w:val="24"/>
        </w:rPr>
        <w:t xml:space="preserve">Vysoce energetické materiály, sloužící jako komponenty pro výrobu trhavin a střelivin s vysokou přidanou hodnotou, pro vývoj a výzkum nových typů </w:t>
      </w:r>
      <w:proofErr w:type="spellStart"/>
      <w:r w:rsidRPr="00F279EA">
        <w:rPr>
          <w:rFonts w:cs="Times New Roman"/>
          <w:szCs w:val="24"/>
        </w:rPr>
        <w:t>propelentů</w:t>
      </w:r>
      <w:proofErr w:type="spellEnd"/>
      <w:r w:rsidRPr="00F279EA">
        <w:rPr>
          <w:rFonts w:cs="Times New Roman"/>
          <w:szCs w:val="24"/>
        </w:rPr>
        <w:t xml:space="preserve"> pro generátory plynů a speciálních výbušných systémů (ATZ, TEX, GZT, NTO, TAGN a DMNB). Dále pak speciální produkty sloužící k iniciaci trhavin a pro speciální trhací a demoliční práce (RAZOR booster, LCT pásková trhavina a pastová trhavina PasteX14).</w:t>
      </w:r>
    </w:p>
    <w:p w:rsidR="00F279EA" w:rsidRDefault="00F279EA" w:rsidP="000513FE">
      <w:pPr>
        <w:jc w:val="both"/>
        <w:rPr>
          <w:rFonts w:cs="Arial"/>
          <w:sz w:val="22"/>
          <w:szCs w:val="24"/>
        </w:rPr>
      </w:pPr>
    </w:p>
    <w:p w:rsidR="00F279EA" w:rsidRDefault="00F279EA" w:rsidP="000513FE">
      <w:pPr>
        <w:pStyle w:val="Nadpis1"/>
        <w:jc w:val="both"/>
      </w:pPr>
      <w:r w:rsidRPr="00F279EA">
        <w:t>Environmentální profil firmy</w:t>
      </w:r>
    </w:p>
    <w:p w:rsidR="00F279EA" w:rsidRPr="00F279EA" w:rsidRDefault="00F279EA" w:rsidP="000513FE">
      <w:pPr>
        <w:jc w:val="both"/>
      </w:pPr>
    </w:p>
    <w:p w:rsidR="00F279EA" w:rsidRPr="00F279EA" w:rsidRDefault="00F279EA" w:rsidP="000513FE">
      <w:pPr>
        <w:pStyle w:val="Nadpis2"/>
        <w:jc w:val="both"/>
      </w:pPr>
      <w:r w:rsidRPr="00F279EA">
        <w:t>Nakládání s odpady</w:t>
      </w:r>
    </w:p>
    <w:p w:rsidR="00F279EA" w:rsidRPr="00AA3965" w:rsidRDefault="00F279EA" w:rsidP="000513FE">
      <w:pPr>
        <w:jc w:val="both"/>
      </w:pPr>
    </w:p>
    <w:p w:rsidR="00F279EA" w:rsidRPr="00AA3965" w:rsidRDefault="00F279EA" w:rsidP="000513FE">
      <w:pPr>
        <w:jc w:val="both"/>
      </w:pPr>
      <w:r w:rsidRPr="00AA3965">
        <w:t>Ke vzniku samostatné akciové společnosti Explosia došlo k 1. 6. 2002. Okamžitě po osamostatnění bylo v oblasti odpadového hospodářství zajištěno bezproblémové předávání odpadů k likvidaci (především nebezpečných odpadů) podle zákona o odpadech a prováděcích vyhlášek.</w:t>
      </w:r>
    </w:p>
    <w:p w:rsidR="00F279EA" w:rsidRPr="00AA3965" w:rsidRDefault="00F279EA" w:rsidP="000513FE">
      <w:pPr>
        <w:jc w:val="both"/>
      </w:pPr>
      <w:r w:rsidRPr="00AA3965">
        <w:t xml:space="preserve">V roce </w:t>
      </w:r>
      <w:proofErr w:type="gramStart"/>
      <w:r w:rsidRPr="00AA3965">
        <w:t>2009 - 2013</w:t>
      </w:r>
      <w:proofErr w:type="gramEnd"/>
      <w:r w:rsidRPr="00AA3965">
        <w:t xml:space="preserve"> proti roku 2007 a 2008 vzrostla v důsledku zvýšení objemu výroby a likvidaci starých objektů též produkce odpadů. Jednalo se především o železný šrot, papír, sklo, měď, hliník, beton a cihly, tedy odpady, které jsou předávány externím firmám k recyklaci.</w:t>
      </w:r>
    </w:p>
    <w:p w:rsidR="00F279EA" w:rsidRPr="00AA3965" w:rsidRDefault="00F279EA" w:rsidP="000513FE">
      <w:pPr>
        <w:jc w:val="both"/>
      </w:pPr>
      <w:r w:rsidRPr="00AA3965">
        <w:t xml:space="preserve">V areálu společnosti je na základě báňských zákonů provozováno „Zařízení na odstraňování odpadů T 54“, které odstraňuje nebezpečné odpady z výbušinářských provozů. </w:t>
      </w:r>
    </w:p>
    <w:p w:rsidR="00F279EA" w:rsidRPr="00AA3965" w:rsidRDefault="00F279EA" w:rsidP="000513FE">
      <w:pPr>
        <w:jc w:val="both"/>
      </w:pPr>
      <w:r w:rsidRPr="00AA3965">
        <w:t xml:space="preserve">Velké množství výbušinářského odpadu v roce 2005, bylo způsobeno zvýšeným využíváním </w:t>
      </w:r>
      <w:proofErr w:type="spellStart"/>
      <w:r w:rsidRPr="00AA3965">
        <w:t>delaborátů</w:t>
      </w:r>
      <w:proofErr w:type="spellEnd"/>
      <w:r w:rsidRPr="00AA3965">
        <w:t xml:space="preserve"> v procesu výroby a likvidací vojenské munice. V letech 2006 i 2007 podařilo snižovat množství výbušinářského odpadu. Poté došlo již k velkému poklesu množství výbušného odpadu, vzhledem k ukončení likvidace vojenské munice. </w:t>
      </w:r>
    </w:p>
    <w:p w:rsidR="00F279EA" w:rsidRPr="00AA3965" w:rsidRDefault="00F279EA" w:rsidP="000513FE">
      <w:pPr>
        <w:jc w:val="both"/>
      </w:pPr>
      <w:r w:rsidRPr="00AA3965">
        <w:t>Celkové množství odpadu rozčleněného na odpad nebezpečný, nebezpečný výbušný a ostatní i typu zneškodnění (skládkování, spálení, recyklování) za roky 2009 až 2018 je uvedeno tabulce.</w:t>
      </w:r>
    </w:p>
    <w:p w:rsidR="00F279EA" w:rsidRDefault="00F279EA" w:rsidP="000513FE">
      <w:pPr>
        <w:jc w:val="both"/>
      </w:pPr>
      <w:r w:rsidRPr="00AA3965">
        <w:t>Od roku 2016 dochází vlivem velkého nárůst tržeb za vlastní výrobky k mírnému vzrůstu objemu výbušných odpadů a v letech 2016 až 2017 ke vzrůstu ob</w:t>
      </w:r>
      <w:r>
        <w:t xml:space="preserve">jemu zejména odpadů ostatních </w:t>
      </w:r>
      <w:r w:rsidRPr="00AA3965">
        <w:t xml:space="preserve">vlivem nákupu surovin (NCL) ze zahraničí. </w:t>
      </w:r>
    </w:p>
    <w:p w:rsidR="00340C65" w:rsidRDefault="00340C65">
      <w:pPr>
        <w:rPr>
          <w:sz w:val="22"/>
        </w:rPr>
      </w:pPr>
      <w:r>
        <w:rPr>
          <w:sz w:val="22"/>
        </w:rPr>
        <w:br w:type="page"/>
      </w:r>
    </w:p>
    <w:p w:rsidR="00F279EA" w:rsidRPr="00AA3965" w:rsidRDefault="00F279EA" w:rsidP="000513FE">
      <w:pPr>
        <w:spacing w:after="200"/>
        <w:jc w:val="both"/>
        <w:rPr>
          <w:sz w:val="22"/>
        </w:rPr>
      </w:pPr>
    </w:p>
    <w:p w:rsidR="00F279EA" w:rsidRPr="00F61BF5" w:rsidRDefault="00F279EA" w:rsidP="000513FE">
      <w:pPr>
        <w:pStyle w:val="Nadpis2"/>
      </w:pPr>
      <w:r w:rsidRPr="00F61BF5">
        <w:t>Produkce odpadů a způsob nakládání s nimi</w:t>
      </w:r>
    </w:p>
    <w:p w:rsidR="00F279EA" w:rsidRPr="00F279EA" w:rsidRDefault="00F279EA" w:rsidP="000513FE">
      <w:pPr>
        <w:rPr>
          <w:b/>
        </w:rPr>
      </w:pPr>
    </w:p>
    <w:p w:rsidR="00F279EA" w:rsidRPr="00F279EA" w:rsidRDefault="00F279EA" w:rsidP="000513FE">
      <w:pPr>
        <w:rPr>
          <w:rStyle w:val="Nadpis3Char"/>
          <w:rFonts w:eastAsia="Century Gothic"/>
        </w:rPr>
      </w:pPr>
      <w:r w:rsidRPr="00F279EA">
        <w:rPr>
          <w:rStyle w:val="Nadpis3Char"/>
          <w:rFonts w:eastAsia="Century Gothic"/>
        </w:rPr>
        <w:t>Tab. Produkce odpadů</w:t>
      </w:r>
    </w:p>
    <w:p w:rsidR="00F279EA" w:rsidRDefault="00F279EA" w:rsidP="000513FE"/>
    <w:tbl>
      <w:tblPr>
        <w:tblW w:w="865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F279EA" w:rsidRPr="00F62B91" w:rsidTr="00C72539">
        <w:trPr>
          <w:trHeight w:val="46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A" w:rsidRPr="00F62B91" w:rsidRDefault="00F279EA" w:rsidP="000513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b/>
                <w:bCs/>
                <w:color w:val="000000"/>
                <w:sz w:val="18"/>
                <w:szCs w:val="18"/>
              </w:rPr>
              <w:t>Zatřídění odpadu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9EA" w:rsidRPr="00F62B91" w:rsidRDefault="00F279EA" w:rsidP="000513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9EA" w:rsidRPr="00F62B91" w:rsidRDefault="00F279EA" w:rsidP="000513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9EA" w:rsidRPr="00F62B91" w:rsidRDefault="00F279EA" w:rsidP="000513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9EA" w:rsidRPr="00F62B91" w:rsidRDefault="00F279EA" w:rsidP="000513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9EA" w:rsidRPr="00F62B91" w:rsidRDefault="00F279EA" w:rsidP="000513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2B91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9EA" w:rsidRPr="00F62B91" w:rsidRDefault="00F279EA" w:rsidP="000513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7E37">
              <w:rPr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9EA" w:rsidRPr="00F62B91" w:rsidRDefault="00F279EA" w:rsidP="000513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9EA" w:rsidRPr="00F62B91" w:rsidRDefault="00F279EA" w:rsidP="000513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9EA" w:rsidRDefault="00F279EA" w:rsidP="000513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F279EA" w:rsidRPr="00F62B91" w:rsidTr="00C72539">
        <w:trPr>
          <w:trHeight w:val="9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A" w:rsidRPr="00F62B91" w:rsidRDefault="00F279EA" w:rsidP="000513FE">
            <w:pPr>
              <w:rPr>
                <w:rFonts w:cs="Arial"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color w:val="000000"/>
                <w:sz w:val="18"/>
                <w:szCs w:val="18"/>
              </w:rPr>
              <w:t>Odpady kategorie "N" nebezpečné – výbušné (t)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9EA" w:rsidRPr="00F62B91" w:rsidRDefault="00F279EA" w:rsidP="000513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color w:val="000000"/>
                <w:sz w:val="18"/>
                <w:szCs w:val="18"/>
              </w:rPr>
              <w:t>119,84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9EA" w:rsidRPr="00F62B91" w:rsidRDefault="00F279EA" w:rsidP="000513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color w:val="000000"/>
                <w:sz w:val="18"/>
                <w:szCs w:val="18"/>
              </w:rPr>
              <w:t>160,31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9EA" w:rsidRPr="00F62B91" w:rsidRDefault="00F279EA" w:rsidP="000513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color w:val="000000"/>
                <w:sz w:val="18"/>
                <w:szCs w:val="18"/>
              </w:rPr>
              <w:t>132,42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9EA" w:rsidRPr="00F62B91" w:rsidRDefault="00F279EA" w:rsidP="000513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color w:val="000000"/>
                <w:sz w:val="18"/>
                <w:szCs w:val="18"/>
              </w:rPr>
              <w:t>137,66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9EA" w:rsidRPr="00F62B91" w:rsidRDefault="00F279EA" w:rsidP="000513FE">
            <w:pPr>
              <w:jc w:val="center"/>
              <w:rPr>
                <w:color w:val="000000"/>
                <w:sz w:val="18"/>
                <w:szCs w:val="18"/>
              </w:rPr>
            </w:pPr>
            <w:r w:rsidRPr="00F62B91">
              <w:rPr>
                <w:color w:val="000000"/>
                <w:sz w:val="18"/>
                <w:szCs w:val="18"/>
              </w:rPr>
              <w:t>133,29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9EA" w:rsidRPr="00F62B91" w:rsidRDefault="00F279EA" w:rsidP="000513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9EA" w:rsidRPr="008972D7" w:rsidRDefault="00F279EA" w:rsidP="000513FE">
            <w:pPr>
              <w:spacing w:after="100" w:afterAutospacing="1"/>
              <w:rPr>
                <w:color w:val="000000"/>
                <w:sz w:val="18"/>
                <w:szCs w:val="18"/>
              </w:rPr>
            </w:pPr>
            <w:r w:rsidRPr="008972D7">
              <w:rPr>
                <w:color w:val="000000"/>
                <w:sz w:val="18"/>
                <w:szCs w:val="18"/>
              </w:rPr>
              <w:t>154,37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9EA" w:rsidRPr="00F62B91" w:rsidRDefault="00F279EA" w:rsidP="000513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64E66">
              <w:rPr>
                <w:rFonts w:cs="Arial"/>
                <w:color w:val="000000"/>
                <w:sz w:val="18"/>
                <w:szCs w:val="18"/>
              </w:rPr>
              <w:t>191,94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9EA" w:rsidRPr="00864E66" w:rsidRDefault="00F279EA" w:rsidP="000513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188,20</w:t>
            </w:r>
          </w:p>
        </w:tc>
      </w:tr>
      <w:tr w:rsidR="00F279EA" w:rsidRPr="00F62B91" w:rsidTr="00C72539">
        <w:trPr>
          <w:trHeight w:val="9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A" w:rsidRPr="00F62B91" w:rsidRDefault="00F279EA" w:rsidP="000513FE">
            <w:pPr>
              <w:rPr>
                <w:rFonts w:cs="Arial"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color w:val="000000"/>
                <w:sz w:val="18"/>
                <w:szCs w:val="18"/>
              </w:rPr>
              <w:t>Odpady kategorie "N" nebezpečné – ostatní (t)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9EA" w:rsidRPr="00F62B91" w:rsidRDefault="00F279EA" w:rsidP="000513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color w:val="000000"/>
                <w:sz w:val="18"/>
                <w:szCs w:val="18"/>
              </w:rPr>
              <w:t>10,15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9EA" w:rsidRPr="00F62B91" w:rsidRDefault="00F279EA" w:rsidP="000513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color w:val="000000"/>
                <w:sz w:val="18"/>
                <w:szCs w:val="18"/>
              </w:rPr>
              <w:t>24,06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9EA" w:rsidRPr="00F62B91" w:rsidRDefault="00F279EA" w:rsidP="000513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9EA" w:rsidRPr="00F62B91" w:rsidRDefault="00F279EA" w:rsidP="000513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color w:val="000000"/>
                <w:sz w:val="18"/>
                <w:szCs w:val="18"/>
              </w:rPr>
              <w:t>11,39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9EA" w:rsidRPr="00F62B91" w:rsidRDefault="00F279EA" w:rsidP="000513FE">
            <w:pPr>
              <w:jc w:val="center"/>
              <w:rPr>
                <w:color w:val="000000"/>
                <w:sz w:val="18"/>
                <w:szCs w:val="18"/>
              </w:rPr>
            </w:pPr>
            <w:r w:rsidRPr="00F62B91">
              <w:rPr>
                <w:color w:val="000000"/>
                <w:sz w:val="18"/>
                <w:szCs w:val="18"/>
              </w:rPr>
              <w:t>36,09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9EA" w:rsidRPr="00F62B91" w:rsidRDefault="00F279EA" w:rsidP="000513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9EA" w:rsidRPr="008972D7" w:rsidRDefault="00F279EA" w:rsidP="000513FE">
            <w:pPr>
              <w:jc w:val="center"/>
              <w:rPr>
                <w:color w:val="000000"/>
                <w:sz w:val="18"/>
                <w:szCs w:val="18"/>
              </w:rPr>
            </w:pPr>
            <w:r w:rsidRPr="008972D7">
              <w:rPr>
                <w:color w:val="000000"/>
                <w:sz w:val="18"/>
                <w:szCs w:val="18"/>
              </w:rPr>
              <w:t>17,62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9EA" w:rsidRPr="00F62B91" w:rsidRDefault="00F279EA" w:rsidP="000513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64E66">
              <w:rPr>
                <w:rFonts w:cs="Arial"/>
                <w:color w:val="000000"/>
                <w:sz w:val="18"/>
                <w:szCs w:val="18"/>
              </w:rPr>
              <w:t>28,29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9EA" w:rsidRPr="00864E66" w:rsidRDefault="00F279EA" w:rsidP="000513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13,87</w:t>
            </w:r>
          </w:p>
        </w:tc>
      </w:tr>
      <w:tr w:rsidR="00F279EA" w:rsidRPr="00F62B91" w:rsidTr="00C72539">
        <w:trPr>
          <w:trHeight w:val="450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A" w:rsidRPr="00F62B91" w:rsidRDefault="00F279EA" w:rsidP="000513FE">
            <w:pPr>
              <w:rPr>
                <w:rFonts w:cs="Arial"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color w:val="000000"/>
                <w:sz w:val="18"/>
                <w:szCs w:val="18"/>
              </w:rPr>
              <w:t>Odpady kategorie "O"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279EA" w:rsidRPr="00F62B91" w:rsidRDefault="00F279EA" w:rsidP="000513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color w:val="000000"/>
                <w:sz w:val="18"/>
                <w:szCs w:val="18"/>
              </w:rPr>
              <w:t>175,49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279EA" w:rsidRPr="00F62B91" w:rsidRDefault="00F279EA" w:rsidP="000513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color w:val="000000"/>
                <w:sz w:val="18"/>
                <w:szCs w:val="18"/>
              </w:rPr>
              <w:t>228,88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279EA" w:rsidRPr="00F62B91" w:rsidRDefault="00F279EA" w:rsidP="000513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color w:val="000000"/>
                <w:sz w:val="18"/>
                <w:szCs w:val="18"/>
              </w:rPr>
              <w:t>71,05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279EA" w:rsidRPr="00F62B91" w:rsidRDefault="00F279EA" w:rsidP="000513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279EA" w:rsidRPr="00F62B91" w:rsidRDefault="00F279EA" w:rsidP="000513FE">
            <w:pPr>
              <w:jc w:val="center"/>
              <w:rPr>
                <w:color w:val="000000"/>
                <w:sz w:val="18"/>
                <w:szCs w:val="18"/>
              </w:rPr>
            </w:pPr>
            <w:r w:rsidRPr="00F62B91">
              <w:rPr>
                <w:color w:val="000000"/>
                <w:sz w:val="18"/>
                <w:szCs w:val="18"/>
              </w:rPr>
              <w:t>78,22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279EA" w:rsidRPr="00F62B91" w:rsidRDefault="00F279EA" w:rsidP="000513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94,38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279EA" w:rsidRPr="008972D7" w:rsidRDefault="00F279EA" w:rsidP="000513FE">
            <w:pPr>
              <w:jc w:val="center"/>
              <w:rPr>
                <w:color w:val="000000"/>
                <w:sz w:val="18"/>
                <w:szCs w:val="18"/>
              </w:rPr>
            </w:pPr>
            <w:r w:rsidRPr="008972D7">
              <w:rPr>
                <w:color w:val="000000"/>
                <w:sz w:val="18"/>
                <w:szCs w:val="18"/>
              </w:rPr>
              <w:t>321,50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79EA" w:rsidRPr="00F62B91" w:rsidRDefault="00F279EA" w:rsidP="000513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64E66">
              <w:rPr>
                <w:rFonts w:cs="Arial"/>
                <w:color w:val="000000"/>
                <w:sz w:val="18"/>
                <w:szCs w:val="18"/>
              </w:rPr>
              <w:t>212,76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279EA" w:rsidRPr="00864E66" w:rsidRDefault="00F279EA" w:rsidP="000513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116,59</w:t>
            </w:r>
          </w:p>
        </w:tc>
      </w:tr>
      <w:tr w:rsidR="00F279EA" w:rsidRPr="00F62B91" w:rsidTr="00C72539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A" w:rsidRPr="00F62B91" w:rsidRDefault="00F279EA" w:rsidP="000513FE">
            <w:pPr>
              <w:rPr>
                <w:rFonts w:cs="Arial"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color w:val="000000"/>
                <w:sz w:val="18"/>
                <w:szCs w:val="18"/>
              </w:rPr>
              <w:t>ostatní (t)</w:t>
            </w: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9EA" w:rsidRPr="00F62B91" w:rsidRDefault="00F279EA" w:rsidP="000513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9EA" w:rsidRPr="00F62B91" w:rsidRDefault="00F279EA" w:rsidP="000513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9EA" w:rsidRPr="00F62B91" w:rsidRDefault="00F279EA" w:rsidP="000513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9EA" w:rsidRPr="00F62B91" w:rsidRDefault="00F279EA" w:rsidP="000513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9EA" w:rsidRPr="00F62B91" w:rsidRDefault="00F279EA" w:rsidP="000513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9EA" w:rsidRPr="00F62B91" w:rsidRDefault="00F279EA" w:rsidP="000513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9EA" w:rsidRPr="008972D7" w:rsidRDefault="00F279EA" w:rsidP="000513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9EA" w:rsidRPr="00F62B91" w:rsidRDefault="00F279EA" w:rsidP="000513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9EA" w:rsidRPr="00864E66" w:rsidRDefault="00F279EA" w:rsidP="000513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279EA" w:rsidRPr="00F62B91" w:rsidTr="00C72539">
        <w:trPr>
          <w:trHeight w:val="6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A" w:rsidRPr="00F62B91" w:rsidRDefault="00F279EA" w:rsidP="000513F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b/>
                <w:bCs/>
                <w:color w:val="000000"/>
                <w:sz w:val="18"/>
                <w:szCs w:val="18"/>
              </w:rPr>
              <w:t>Celková produkce odpadů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9EA" w:rsidRPr="00F62B91" w:rsidRDefault="00F279EA" w:rsidP="000513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b/>
                <w:bCs/>
                <w:color w:val="000000"/>
                <w:sz w:val="18"/>
                <w:szCs w:val="18"/>
              </w:rPr>
              <w:t>305,48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9EA" w:rsidRPr="00F62B91" w:rsidRDefault="00F279EA" w:rsidP="000513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b/>
                <w:bCs/>
                <w:color w:val="000000"/>
                <w:sz w:val="18"/>
                <w:szCs w:val="18"/>
              </w:rPr>
              <w:t>413,25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9EA" w:rsidRPr="00F62B91" w:rsidRDefault="00F279EA" w:rsidP="000513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b/>
                <w:bCs/>
                <w:color w:val="000000"/>
                <w:sz w:val="18"/>
                <w:szCs w:val="18"/>
              </w:rPr>
              <w:t>215,97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9EA" w:rsidRPr="00F62B91" w:rsidRDefault="00F279EA" w:rsidP="000513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b/>
                <w:bCs/>
                <w:color w:val="000000"/>
                <w:sz w:val="18"/>
                <w:szCs w:val="18"/>
              </w:rPr>
              <w:t>252,55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9EA" w:rsidRPr="00F62B91" w:rsidRDefault="00F279EA" w:rsidP="000513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2B91">
              <w:rPr>
                <w:b/>
                <w:bCs/>
                <w:color w:val="000000"/>
                <w:sz w:val="18"/>
                <w:szCs w:val="18"/>
              </w:rPr>
              <w:t>247,59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9EA" w:rsidRPr="00F62B91" w:rsidRDefault="00F279EA" w:rsidP="000513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147,25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9EA" w:rsidRPr="00897F85" w:rsidRDefault="00F279EA" w:rsidP="000513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493,49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9EA" w:rsidRPr="00F62B91" w:rsidRDefault="00F279EA" w:rsidP="000513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64E66">
              <w:rPr>
                <w:rFonts w:cs="Arial"/>
                <w:b/>
                <w:bCs/>
                <w:color w:val="000000"/>
                <w:sz w:val="18"/>
                <w:szCs w:val="18"/>
              </w:rPr>
              <w:t>432,99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9EA" w:rsidRPr="00864E66" w:rsidRDefault="00F279EA" w:rsidP="000513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318,66</w:t>
            </w:r>
          </w:p>
        </w:tc>
      </w:tr>
    </w:tbl>
    <w:p w:rsidR="00F279EA" w:rsidRDefault="00F279EA" w:rsidP="000513FE">
      <w:pPr>
        <w:spacing w:after="200"/>
        <w:rPr>
          <w:b/>
          <w:bCs/>
          <w:u w:val="single"/>
        </w:rPr>
      </w:pPr>
    </w:p>
    <w:p w:rsidR="00F279EA" w:rsidRPr="00D32380" w:rsidRDefault="00F279EA" w:rsidP="000513FE">
      <w:pPr>
        <w:spacing w:after="200"/>
        <w:rPr>
          <w:b/>
          <w:bCs/>
          <w:u w:val="single"/>
        </w:rPr>
      </w:pPr>
      <w:r>
        <w:rPr>
          <w:b/>
          <w:bCs/>
        </w:rPr>
        <w:t>Tab. Z</w:t>
      </w:r>
      <w:r w:rsidRPr="00C21EF8">
        <w:rPr>
          <w:b/>
          <w:bCs/>
        </w:rPr>
        <w:t>působ nakládání s odpady</w:t>
      </w:r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279EA" w:rsidRPr="00F62B91" w:rsidTr="00C72539">
        <w:trPr>
          <w:trHeight w:val="465"/>
        </w:trPr>
        <w:tc>
          <w:tcPr>
            <w:tcW w:w="2283" w:type="dxa"/>
            <w:shd w:val="clear" w:color="auto" w:fill="auto"/>
            <w:vAlign w:val="center"/>
            <w:hideMark/>
          </w:tcPr>
          <w:p w:rsidR="00F279EA" w:rsidRPr="00F62B91" w:rsidRDefault="00F279EA" w:rsidP="000513FE">
            <w:pPr>
              <w:jc w:val="center"/>
              <w:rPr>
                <w:b/>
                <w:sz w:val="18"/>
                <w:szCs w:val="18"/>
              </w:rPr>
            </w:pPr>
            <w:r w:rsidRPr="00F62B91">
              <w:rPr>
                <w:b/>
                <w:sz w:val="18"/>
                <w:szCs w:val="18"/>
              </w:rPr>
              <w:t>Zatřídění odpadu</w:t>
            </w:r>
          </w:p>
        </w:tc>
        <w:tc>
          <w:tcPr>
            <w:tcW w:w="709" w:type="dxa"/>
            <w:vAlign w:val="center"/>
          </w:tcPr>
          <w:p w:rsidR="00F279EA" w:rsidRPr="00747CB4" w:rsidRDefault="00F279EA" w:rsidP="000513FE">
            <w:pPr>
              <w:jc w:val="center"/>
              <w:rPr>
                <w:b/>
                <w:sz w:val="16"/>
                <w:szCs w:val="16"/>
              </w:rPr>
            </w:pPr>
            <w:r w:rsidRPr="00747CB4"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708" w:type="dxa"/>
            <w:vAlign w:val="center"/>
          </w:tcPr>
          <w:p w:rsidR="00F279EA" w:rsidRPr="00747CB4" w:rsidRDefault="00F279EA" w:rsidP="000513FE">
            <w:pPr>
              <w:jc w:val="center"/>
              <w:rPr>
                <w:b/>
                <w:sz w:val="16"/>
                <w:szCs w:val="16"/>
              </w:rPr>
            </w:pPr>
            <w:r w:rsidRPr="00747CB4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709" w:type="dxa"/>
            <w:vAlign w:val="center"/>
          </w:tcPr>
          <w:p w:rsidR="00F279EA" w:rsidRPr="00747CB4" w:rsidRDefault="00F279EA" w:rsidP="000513FE">
            <w:pPr>
              <w:jc w:val="center"/>
              <w:rPr>
                <w:b/>
                <w:sz w:val="16"/>
                <w:szCs w:val="16"/>
              </w:rPr>
            </w:pPr>
            <w:r w:rsidRPr="00747CB4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709" w:type="dxa"/>
            <w:vAlign w:val="center"/>
          </w:tcPr>
          <w:p w:rsidR="00F279EA" w:rsidRPr="00747CB4" w:rsidRDefault="00F279EA" w:rsidP="000513FE">
            <w:pPr>
              <w:jc w:val="center"/>
              <w:rPr>
                <w:b/>
                <w:sz w:val="16"/>
                <w:szCs w:val="16"/>
              </w:rPr>
            </w:pPr>
            <w:r w:rsidRPr="00747CB4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709" w:type="dxa"/>
            <w:vAlign w:val="center"/>
          </w:tcPr>
          <w:p w:rsidR="00F279EA" w:rsidRPr="00747CB4" w:rsidRDefault="00F279EA" w:rsidP="000513FE">
            <w:pPr>
              <w:jc w:val="center"/>
              <w:rPr>
                <w:b/>
                <w:sz w:val="16"/>
                <w:szCs w:val="16"/>
              </w:rPr>
            </w:pPr>
            <w:r w:rsidRPr="00747CB4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708" w:type="dxa"/>
            <w:vAlign w:val="center"/>
          </w:tcPr>
          <w:p w:rsidR="00F279EA" w:rsidRPr="00747CB4" w:rsidRDefault="00F279EA" w:rsidP="000513FE">
            <w:pPr>
              <w:jc w:val="center"/>
              <w:rPr>
                <w:b/>
                <w:sz w:val="16"/>
                <w:szCs w:val="16"/>
              </w:rPr>
            </w:pPr>
            <w:r w:rsidRPr="00747CB4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709" w:type="dxa"/>
            <w:vAlign w:val="center"/>
          </w:tcPr>
          <w:p w:rsidR="00F279EA" w:rsidRPr="00747CB4" w:rsidRDefault="00F279EA" w:rsidP="000513FE">
            <w:pPr>
              <w:jc w:val="center"/>
              <w:rPr>
                <w:b/>
                <w:sz w:val="16"/>
                <w:szCs w:val="16"/>
              </w:rPr>
            </w:pPr>
            <w:r w:rsidRPr="00747CB4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709" w:type="dxa"/>
            <w:vAlign w:val="center"/>
          </w:tcPr>
          <w:p w:rsidR="00F279EA" w:rsidRPr="00747CB4" w:rsidRDefault="00F279EA" w:rsidP="000513FE">
            <w:pPr>
              <w:jc w:val="center"/>
              <w:rPr>
                <w:b/>
                <w:sz w:val="16"/>
                <w:szCs w:val="16"/>
              </w:rPr>
            </w:pPr>
            <w:r w:rsidRPr="00747CB4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709" w:type="dxa"/>
            <w:vAlign w:val="center"/>
          </w:tcPr>
          <w:p w:rsidR="00F279EA" w:rsidRPr="00864E66" w:rsidRDefault="00F279EA" w:rsidP="000513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</w:tr>
      <w:tr w:rsidR="00F279EA" w:rsidRPr="00F62B91" w:rsidTr="00C72539">
        <w:trPr>
          <w:trHeight w:val="465"/>
        </w:trPr>
        <w:tc>
          <w:tcPr>
            <w:tcW w:w="2283" w:type="dxa"/>
            <w:shd w:val="clear" w:color="auto" w:fill="auto"/>
            <w:vAlign w:val="center"/>
            <w:hideMark/>
          </w:tcPr>
          <w:p w:rsidR="00F279EA" w:rsidRPr="00F62B91" w:rsidRDefault="00F279EA" w:rsidP="000513FE">
            <w:pPr>
              <w:rPr>
                <w:sz w:val="18"/>
                <w:szCs w:val="18"/>
              </w:rPr>
            </w:pPr>
            <w:r w:rsidRPr="00F62B91">
              <w:rPr>
                <w:sz w:val="18"/>
                <w:szCs w:val="18"/>
              </w:rPr>
              <w:t>Odpady skládkované (t)</w:t>
            </w:r>
          </w:p>
        </w:tc>
        <w:tc>
          <w:tcPr>
            <w:tcW w:w="709" w:type="dxa"/>
            <w:vAlign w:val="center"/>
          </w:tcPr>
          <w:p w:rsidR="00F279EA" w:rsidRPr="00747CB4" w:rsidRDefault="00F279EA" w:rsidP="000513FE">
            <w:pPr>
              <w:jc w:val="center"/>
              <w:rPr>
                <w:sz w:val="16"/>
                <w:szCs w:val="16"/>
              </w:rPr>
            </w:pPr>
            <w:r w:rsidRPr="00747CB4">
              <w:rPr>
                <w:sz w:val="16"/>
                <w:szCs w:val="16"/>
              </w:rPr>
              <w:t>33,33</w:t>
            </w:r>
          </w:p>
        </w:tc>
        <w:tc>
          <w:tcPr>
            <w:tcW w:w="708" w:type="dxa"/>
            <w:vAlign w:val="center"/>
          </w:tcPr>
          <w:p w:rsidR="00F279EA" w:rsidRPr="00747CB4" w:rsidRDefault="00F279EA" w:rsidP="000513FE">
            <w:pPr>
              <w:jc w:val="center"/>
              <w:rPr>
                <w:sz w:val="16"/>
                <w:szCs w:val="16"/>
              </w:rPr>
            </w:pPr>
            <w:r w:rsidRPr="00747CB4">
              <w:rPr>
                <w:sz w:val="16"/>
                <w:szCs w:val="16"/>
              </w:rPr>
              <w:t>74,15</w:t>
            </w:r>
          </w:p>
        </w:tc>
        <w:tc>
          <w:tcPr>
            <w:tcW w:w="709" w:type="dxa"/>
            <w:vAlign w:val="center"/>
          </w:tcPr>
          <w:p w:rsidR="00F279EA" w:rsidRPr="00747CB4" w:rsidRDefault="00F279EA" w:rsidP="000513FE">
            <w:pPr>
              <w:jc w:val="center"/>
              <w:rPr>
                <w:sz w:val="16"/>
                <w:szCs w:val="16"/>
              </w:rPr>
            </w:pPr>
            <w:r w:rsidRPr="00747CB4">
              <w:rPr>
                <w:sz w:val="16"/>
                <w:szCs w:val="16"/>
              </w:rPr>
              <w:t>25,29</w:t>
            </w:r>
          </w:p>
        </w:tc>
        <w:tc>
          <w:tcPr>
            <w:tcW w:w="709" w:type="dxa"/>
            <w:vAlign w:val="center"/>
          </w:tcPr>
          <w:p w:rsidR="00F279EA" w:rsidRPr="00747CB4" w:rsidRDefault="00F279EA" w:rsidP="000513FE">
            <w:pPr>
              <w:jc w:val="center"/>
              <w:rPr>
                <w:sz w:val="16"/>
                <w:szCs w:val="16"/>
              </w:rPr>
            </w:pPr>
            <w:r w:rsidRPr="00747CB4">
              <w:rPr>
                <w:sz w:val="16"/>
                <w:szCs w:val="16"/>
              </w:rPr>
              <w:t>39,06</w:t>
            </w:r>
          </w:p>
        </w:tc>
        <w:tc>
          <w:tcPr>
            <w:tcW w:w="709" w:type="dxa"/>
            <w:vAlign w:val="center"/>
          </w:tcPr>
          <w:p w:rsidR="00F279EA" w:rsidRPr="00747CB4" w:rsidRDefault="00F279EA" w:rsidP="000513FE">
            <w:pPr>
              <w:jc w:val="center"/>
              <w:rPr>
                <w:sz w:val="16"/>
                <w:szCs w:val="16"/>
              </w:rPr>
            </w:pPr>
            <w:r w:rsidRPr="00747CB4">
              <w:rPr>
                <w:sz w:val="16"/>
                <w:szCs w:val="16"/>
              </w:rPr>
              <w:t>47,81</w:t>
            </w:r>
          </w:p>
        </w:tc>
        <w:tc>
          <w:tcPr>
            <w:tcW w:w="708" w:type="dxa"/>
            <w:vAlign w:val="center"/>
          </w:tcPr>
          <w:p w:rsidR="00F279EA" w:rsidRPr="00747CB4" w:rsidRDefault="00F279EA" w:rsidP="000513FE">
            <w:pPr>
              <w:jc w:val="center"/>
              <w:rPr>
                <w:sz w:val="16"/>
                <w:szCs w:val="16"/>
              </w:rPr>
            </w:pPr>
            <w:r w:rsidRPr="00747CB4">
              <w:rPr>
                <w:sz w:val="16"/>
                <w:szCs w:val="16"/>
              </w:rPr>
              <w:t>43,33</w:t>
            </w:r>
          </w:p>
        </w:tc>
        <w:tc>
          <w:tcPr>
            <w:tcW w:w="709" w:type="dxa"/>
            <w:vAlign w:val="center"/>
          </w:tcPr>
          <w:p w:rsidR="00F279EA" w:rsidRPr="00747CB4" w:rsidRDefault="00F279EA" w:rsidP="000513FE">
            <w:pPr>
              <w:jc w:val="center"/>
              <w:rPr>
                <w:sz w:val="16"/>
                <w:szCs w:val="16"/>
              </w:rPr>
            </w:pPr>
            <w:r w:rsidRPr="00747CB4">
              <w:rPr>
                <w:sz w:val="16"/>
                <w:szCs w:val="16"/>
              </w:rPr>
              <w:t>40,30</w:t>
            </w:r>
          </w:p>
        </w:tc>
        <w:tc>
          <w:tcPr>
            <w:tcW w:w="709" w:type="dxa"/>
            <w:vAlign w:val="center"/>
          </w:tcPr>
          <w:p w:rsidR="00F279EA" w:rsidRPr="00747CB4" w:rsidRDefault="00F279EA" w:rsidP="000513FE">
            <w:pPr>
              <w:jc w:val="center"/>
              <w:rPr>
                <w:sz w:val="16"/>
                <w:szCs w:val="16"/>
              </w:rPr>
            </w:pPr>
            <w:r w:rsidRPr="00747CB4">
              <w:rPr>
                <w:sz w:val="16"/>
                <w:szCs w:val="16"/>
              </w:rPr>
              <w:t>33,32</w:t>
            </w:r>
          </w:p>
        </w:tc>
        <w:tc>
          <w:tcPr>
            <w:tcW w:w="709" w:type="dxa"/>
            <w:vAlign w:val="center"/>
          </w:tcPr>
          <w:p w:rsidR="00F279EA" w:rsidRPr="00864E66" w:rsidRDefault="00F279EA" w:rsidP="00051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32,88</w:t>
            </w:r>
          </w:p>
        </w:tc>
      </w:tr>
      <w:tr w:rsidR="00F279EA" w:rsidRPr="00F62B91" w:rsidTr="00C72539">
        <w:trPr>
          <w:trHeight w:val="465"/>
        </w:trPr>
        <w:tc>
          <w:tcPr>
            <w:tcW w:w="2283" w:type="dxa"/>
            <w:shd w:val="clear" w:color="auto" w:fill="auto"/>
            <w:vAlign w:val="center"/>
            <w:hideMark/>
          </w:tcPr>
          <w:p w:rsidR="00F279EA" w:rsidRPr="00F62B91" w:rsidRDefault="00F279EA" w:rsidP="000513FE">
            <w:pPr>
              <w:rPr>
                <w:sz w:val="18"/>
                <w:szCs w:val="18"/>
              </w:rPr>
            </w:pPr>
            <w:r w:rsidRPr="00F62B91">
              <w:rPr>
                <w:sz w:val="18"/>
                <w:szCs w:val="18"/>
              </w:rPr>
              <w:t>Odpady spálené (t)</w:t>
            </w:r>
          </w:p>
        </w:tc>
        <w:tc>
          <w:tcPr>
            <w:tcW w:w="709" w:type="dxa"/>
            <w:vAlign w:val="center"/>
          </w:tcPr>
          <w:p w:rsidR="00F279EA" w:rsidRPr="00747CB4" w:rsidRDefault="00F279EA" w:rsidP="000513FE">
            <w:pPr>
              <w:jc w:val="center"/>
              <w:rPr>
                <w:sz w:val="16"/>
                <w:szCs w:val="16"/>
              </w:rPr>
            </w:pPr>
            <w:r w:rsidRPr="00747CB4">
              <w:rPr>
                <w:sz w:val="16"/>
                <w:szCs w:val="16"/>
              </w:rPr>
              <w:t>143,78</w:t>
            </w:r>
          </w:p>
        </w:tc>
        <w:tc>
          <w:tcPr>
            <w:tcW w:w="708" w:type="dxa"/>
            <w:vAlign w:val="center"/>
          </w:tcPr>
          <w:p w:rsidR="00F279EA" w:rsidRPr="00747CB4" w:rsidRDefault="00F279EA" w:rsidP="000513FE">
            <w:pPr>
              <w:jc w:val="center"/>
              <w:rPr>
                <w:sz w:val="16"/>
                <w:szCs w:val="16"/>
              </w:rPr>
            </w:pPr>
            <w:r w:rsidRPr="00747CB4">
              <w:rPr>
                <w:sz w:val="16"/>
                <w:szCs w:val="16"/>
              </w:rPr>
              <w:t>167,52</w:t>
            </w:r>
          </w:p>
        </w:tc>
        <w:tc>
          <w:tcPr>
            <w:tcW w:w="709" w:type="dxa"/>
            <w:vAlign w:val="center"/>
          </w:tcPr>
          <w:p w:rsidR="00F279EA" w:rsidRPr="00747CB4" w:rsidRDefault="00F279EA" w:rsidP="000513FE">
            <w:pPr>
              <w:jc w:val="center"/>
              <w:rPr>
                <w:sz w:val="16"/>
                <w:szCs w:val="16"/>
              </w:rPr>
            </w:pPr>
            <w:r w:rsidRPr="00747CB4">
              <w:rPr>
                <w:sz w:val="16"/>
                <w:szCs w:val="16"/>
              </w:rPr>
              <w:t>132,50</w:t>
            </w:r>
          </w:p>
        </w:tc>
        <w:tc>
          <w:tcPr>
            <w:tcW w:w="709" w:type="dxa"/>
            <w:vAlign w:val="center"/>
          </w:tcPr>
          <w:p w:rsidR="00F279EA" w:rsidRPr="00747CB4" w:rsidRDefault="00F279EA" w:rsidP="000513FE">
            <w:pPr>
              <w:jc w:val="center"/>
              <w:rPr>
                <w:sz w:val="16"/>
                <w:szCs w:val="16"/>
              </w:rPr>
            </w:pPr>
            <w:r w:rsidRPr="00747CB4">
              <w:rPr>
                <w:sz w:val="16"/>
                <w:szCs w:val="16"/>
              </w:rPr>
              <w:t>137,66</w:t>
            </w:r>
          </w:p>
        </w:tc>
        <w:tc>
          <w:tcPr>
            <w:tcW w:w="709" w:type="dxa"/>
            <w:vAlign w:val="center"/>
          </w:tcPr>
          <w:p w:rsidR="00F279EA" w:rsidRPr="00747CB4" w:rsidRDefault="00F279EA" w:rsidP="000513FE">
            <w:pPr>
              <w:jc w:val="center"/>
              <w:rPr>
                <w:sz w:val="16"/>
                <w:szCs w:val="16"/>
              </w:rPr>
            </w:pPr>
            <w:r w:rsidRPr="00747CB4">
              <w:rPr>
                <w:sz w:val="16"/>
                <w:szCs w:val="16"/>
              </w:rPr>
              <w:t>133,29</w:t>
            </w:r>
          </w:p>
        </w:tc>
        <w:tc>
          <w:tcPr>
            <w:tcW w:w="708" w:type="dxa"/>
            <w:vAlign w:val="center"/>
          </w:tcPr>
          <w:p w:rsidR="00F279EA" w:rsidRPr="00747CB4" w:rsidRDefault="00F279EA" w:rsidP="000513FE">
            <w:pPr>
              <w:jc w:val="center"/>
              <w:rPr>
                <w:sz w:val="16"/>
                <w:szCs w:val="16"/>
              </w:rPr>
            </w:pPr>
            <w:r w:rsidRPr="00747CB4">
              <w:rPr>
                <w:sz w:val="16"/>
                <w:szCs w:val="16"/>
              </w:rPr>
              <w:t>29,20</w:t>
            </w:r>
          </w:p>
        </w:tc>
        <w:tc>
          <w:tcPr>
            <w:tcW w:w="709" w:type="dxa"/>
            <w:vAlign w:val="center"/>
          </w:tcPr>
          <w:p w:rsidR="00F279EA" w:rsidRPr="00747CB4" w:rsidRDefault="00F279EA" w:rsidP="000513FE">
            <w:pPr>
              <w:jc w:val="center"/>
              <w:rPr>
                <w:sz w:val="16"/>
                <w:szCs w:val="16"/>
              </w:rPr>
            </w:pPr>
            <w:r w:rsidRPr="00747CB4">
              <w:rPr>
                <w:sz w:val="16"/>
                <w:szCs w:val="16"/>
              </w:rPr>
              <w:t>155,05</w:t>
            </w:r>
          </w:p>
        </w:tc>
        <w:tc>
          <w:tcPr>
            <w:tcW w:w="709" w:type="dxa"/>
            <w:vAlign w:val="center"/>
          </w:tcPr>
          <w:p w:rsidR="00F279EA" w:rsidRPr="00747CB4" w:rsidRDefault="00F279EA" w:rsidP="000513FE">
            <w:pPr>
              <w:jc w:val="center"/>
              <w:rPr>
                <w:sz w:val="16"/>
                <w:szCs w:val="16"/>
              </w:rPr>
            </w:pPr>
            <w:r w:rsidRPr="00747CB4">
              <w:rPr>
                <w:sz w:val="16"/>
                <w:szCs w:val="16"/>
              </w:rPr>
              <w:t>191,94</w:t>
            </w:r>
          </w:p>
        </w:tc>
        <w:tc>
          <w:tcPr>
            <w:tcW w:w="709" w:type="dxa"/>
            <w:vAlign w:val="center"/>
          </w:tcPr>
          <w:p w:rsidR="00F279EA" w:rsidRPr="00864E66" w:rsidRDefault="00F279EA" w:rsidP="00051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188,20</w:t>
            </w:r>
          </w:p>
        </w:tc>
      </w:tr>
      <w:tr w:rsidR="00F279EA" w:rsidRPr="00F62B91" w:rsidTr="00C72539">
        <w:trPr>
          <w:trHeight w:val="465"/>
        </w:trPr>
        <w:tc>
          <w:tcPr>
            <w:tcW w:w="2283" w:type="dxa"/>
            <w:shd w:val="clear" w:color="auto" w:fill="auto"/>
            <w:vAlign w:val="center"/>
            <w:hideMark/>
          </w:tcPr>
          <w:p w:rsidR="00F279EA" w:rsidRPr="00F62B91" w:rsidRDefault="00F279EA" w:rsidP="000513FE">
            <w:pPr>
              <w:rPr>
                <w:sz w:val="18"/>
                <w:szCs w:val="18"/>
              </w:rPr>
            </w:pPr>
            <w:r w:rsidRPr="00F62B91">
              <w:rPr>
                <w:sz w:val="18"/>
                <w:szCs w:val="18"/>
              </w:rPr>
              <w:t>Odpady recyklované (t)</w:t>
            </w:r>
          </w:p>
        </w:tc>
        <w:tc>
          <w:tcPr>
            <w:tcW w:w="709" w:type="dxa"/>
            <w:vAlign w:val="center"/>
          </w:tcPr>
          <w:p w:rsidR="00F279EA" w:rsidRPr="00747CB4" w:rsidRDefault="00F279EA" w:rsidP="000513FE">
            <w:pPr>
              <w:jc w:val="center"/>
              <w:rPr>
                <w:sz w:val="16"/>
                <w:szCs w:val="16"/>
              </w:rPr>
            </w:pPr>
            <w:r w:rsidRPr="00747CB4">
              <w:rPr>
                <w:sz w:val="16"/>
                <w:szCs w:val="16"/>
              </w:rPr>
              <w:t>128,37</w:t>
            </w:r>
          </w:p>
        </w:tc>
        <w:tc>
          <w:tcPr>
            <w:tcW w:w="708" w:type="dxa"/>
            <w:vAlign w:val="center"/>
          </w:tcPr>
          <w:p w:rsidR="00F279EA" w:rsidRPr="00747CB4" w:rsidRDefault="00F279EA" w:rsidP="000513FE">
            <w:pPr>
              <w:jc w:val="center"/>
              <w:rPr>
                <w:sz w:val="16"/>
                <w:szCs w:val="16"/>
              </w:rPr>
            </w:pPr>
            <w:r w:rsidRPr="00747CB4">
              <w:rPr>
                <w:sz w:val="16"/>
                <w:szCs w:val="16"/>
              </w:rPr>
              <w:t>171,58</w:t>
            </w:r>
          </w:p>
        </w:tc>
        <w:tc>
          <w:tcPr>
            <w:tcW w:w="709" w:type="dxa"/>
            <w:vAlign w:val="center"/>
          </w:tcPr>
          <w:p w:rsidR="00F279EA" w:rsidRPr="00747CB4" w:rsidRDefault="00F279EA" w:rsidP="000513FE">
            <w:pPr>
              <w:jc w:val="center"/>
              <w:rPr>
                <w:sz w:val="16"/>
                <w:szCs w:val="16"/>
              </w:rPr>
            </w:pPr>
            <w:r w:rsidRPr="00747CB4">
              <w:rPr>
                <w:sz w:val="16"/>
                <w:szCs w:val="16"/>
              </w:rPr>
              <w:t>58,18</w:t>
            </w:r>
          </w:p>
        </w:tc>
        <w:tc>
          <w:tcPr>
            <w:tcW w:w="709" w:type="dxa"/>
            <w:vAlign w:val="center"/>
          </w:tcPr>
          <w:p w:rsidR="00F279EA" w:rsidRPr="00747CB4" w:rsidRDefault="00F279EA" w:rsidP="000513FE">
            <w:pPr>
              <w:jc w:val="center"/>
              <w:rPr>
                <w:sz w:val="16"/>
                <w:szCs w:val="16"/>
              </w:rPr>
            </w:pPr>
            <w:r w:rsidRPr="00747CB4">
              <w:rPr>
                <w:sz w:val="16"/>
                <w:szCs w:val="16"/>
              </w:rPr>
              <w:t>75,83</w:t>
            </w:r>
          </w:p>
        </w:tc>
        <w:tc>
          <w:tcPr>
            <w:tcW w:w="709" w:type="dxa"/>
            <w:vAlign w:val="center"/>
          </w:tcPr>
          <w:p w:rsidR="00F279EA" w:rsidRPr="00747CB4" w:rsidRDefault="00F279EA" w:rsidP="000513FE">
            <w:pPr>
              <w:jc w:val="center"/>
              <w:rPr>
                <w:sz w:val="16"/>
                <w:szCs w:val="16"/>
              </w:rPr>
            </w:pPr>
            <w:r w:rsidRPr="00747CB4">
              <w:rPr>
                <w:sz w:val="16"/>
                <w:szCs w:val="16"/>
              </w:rPr>
              <w:t>66,50</w:t>
            </w:r>
          </w:p>
        </w:tc>
        <w:tc>
          <w:tcPr>
            <w:tcW w:w="708" w:type="dxa"/>
            <w:vAlign w:val="center"/>
          </w:tcPr>
          <w:p w:rsidR="00F279EA" w:rsidRPr="00747CB4" w:rsidRDefault="00F279EA" w:rsidP="000513FE">
            <w:pPr>
              <w:jc w:val="center"/>
              <w:rPr>
                <w:sz w:val="16"/>
                <w:szCs w:val="16"/>
              </w:rPr>
            </w:pPr>
            <w:r w:rsidRPr="00747CB4">
              <w:rPr>
                <w:sz w:val="16"/>
                <w:szCs w:val="16"/>
              </w:rPr>
              <w:t>74,72</w:t>
            </w:r>
          </w:p>
        </w:tc>
        <w:tc>
          <w:tcPr>
            <w:tcW w:w="709" w:type="dxa"/>
            <w:vAlign w:val="center"/>
          </w:tcPr>
          <w:p w:rsidR="00F279EA" w:rsidRPr="00747CB4" w:rsidRDefault="00F279EA" w:rsidP="000513FE">
            <w:pPr>
              <w:jc w:val="center"/>
              <w:rPr>
                <w:sz w:val="16"/>
                <w:szCs w:val="16"/>
              </w:rPr>
            </w:pPr>
            <w:r w:rsidRPr="00747CB4">
              <w:rPr>
                <w:sz w:val="16"/>
                <w:szCs w:val="16"/>
              </w:rPr>
              <w:t>298,12</w:t>
            </w:r>
          </w:p>
        </w:tc>
        <w:tc>
          <w:tcPr>
            <w:tcW w:w="709" w:type="dxa"/>
            <w:vAlign w:val="center"/>
          </w:tcPr>
          <w:p w:rsidR="00F279EA" w:rsidRPr="00747CB4" w:rsidRDefault="00F279EA" w:rsidP="000513FE">
            <w:pPr>
              <w:jc w:val="center"/>
              <w:rPr>
                <w:sz w:val="16"/>
                <w:szCs w:val="16"/>
              </w:rPr>
            </w:pPr>
            <w:r w:rsidRPr="00747CB4">
              <w:rPr>
                <w:sz w:val="16"/>
                <w:szCs w:val="16"/>
              </w:rPr>
              <w:t>207,73</w:t>
            </w:r>
          </w:p>
        </w:tc>
        <w:tc>
          <w:tcPr>
            <w:tcW w:w="709" w:type="dxa"/>
            <w:vAlign w:val="center"/>
          </w:tcPr>
          <w:p w:rsidR="00F279EA" w:rsidRPr="00864E66" w:rsidRDefault="00F279EA" w:rsidP="00051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130,41</w:t>
            </w:r>
          </w:p>
        </w:tc>
      </w:tr>
      <w:tr w:rsidR="00F279EA" w:rsidRPr="00F62B91" w:rsidTr="00C72539">
        <w:trPr>
          <w:trHeight w:val="735"/>
        </w:trPr>
        <w:tc>
          <w:tcPr>
            <w:tcW w:w="2283" w:type="dxa"/>
            <w:shd w:val="clear" w:color="auto" w:fill="auto"/>
            <w:vAlign w:val="center"/>
            <w:hideMark/>
          </w:tcPr>
          <w:p w:rsidR="00F279EA" w:rsidRPr="00F62B91" w:rsidRDefault="00F279EA" w:rsidP="000513FE">
            <w:pPr>
              <w:rPr>
                <w:b/>
                <w:bCs/>
                <w:sz w:val="18"/>
                <w:szCs w:val="18"/>
              </w:rPr>
            </w:pPr>
            <w:r w:rsidRPr="00F62B91">
              <w:rPr>
                <w:b/>
                <w:bCs/>
                <w:sz w:val="18"/>
                <w:szCs w:val="18"/>
              </w:rPr>
              <w:t>Celkem likvidováno odpadů</w:t>
            </w:r>
          </w:p>
        </w:tc>
        <w:tc>
          <w:tcPr>
            <w:tcW w:w="709" w:type="dxa"/>
            <w:vAlign w:val="center"/>
          </w:tcPr>
          <w:p w:rsidR="00F279EA" w:rsidRPr="00747CB4" w:rsidRDefault="00F279EA" w:rsidP="000513FE">
            <w:pPr>
              <w:jc w:val="center"/>
              <w:rPr>
                <w:b/>
                <w:bCs/>
                <w:sz w:val="16"/>
                <w:szCs w:val="16"/>
              </w:rPr>
            </w:pPr>
            <w:r w:rsidRPr="00747CB4">
              <w:rPr>
                <w:b/>
                <w:bCs/>
                <w:sz w:val="16"/>
                <w:szCs w:val="16"/>
              </w:rPr>
              <w:t>305,48</w:t>
            </w:r>
          </w:p>
        </w:tc>
        <w:tc>
          <w:tcPr>
            <w:tcW w:w="708" w:type="dxa"/>
            <w:vAlign w:val="center"/>
          </w:tcPr>
          <w:p w:rsidR="00F279EA" w:rsidRPr="00747CB4" w:rsidRDefault="00F279EA" w:rsidP="000513FE">
            <w:pPr>
              <w:jc w:val="center"/>
              <w:rPr>
                <w:b/>
                <w:bCs/>
                <w:sz w:val="16"/>
                <w:szCs w:val="16"/>
              </w:rPr>
            </w:pPr>
            <w:r w:rsidRPr="00747CB4">
              <w:rPr>
                <w:b/>
                <w:bCs/>
                <w:sz w:val="16"/>
                <w:szCs w:val="16"/>
              </w:rPr>
              <w:t>413,25</w:t>
            </w:r>
          </w:p>
        </w:tc>
        <w:tc>
          <w:tcPr>
            <w:tcW w:w="709" w:type="dxa"/>
            <w:vAlign w:val="center"/>
          </w:tcPr>
          <w:p w:rsidR="00F279EA" w:rsidRPr="00747CB4" w:rsidRDefault="00F279EA" w:rsidP="000513FE">
            <w:pPr>
              <w:jc w:val="center"/>
              <w:rPr>
                <w:b/>
                <w:bCs/>
                <w:sz w:val="16"/>
                <w:szCs w:val="16"/>
              </w:rPr>
            </w:pPr>
            <w:r w:rsidRPr="00747CB4">
              <w:rPr>
                <w:b/>
                <w:bCs/>
                <w:sz w:val="16"/>
                <w:szCs w:val="16"/>
              </w:rPr>
              <w:t>215,97</w:t>
            </w:r>
          </w:p>
        </w:tc>
        <w:tc>
          <w:tcPr>
            <w:tcW w:w="709" w:type="dxa"/>
            <w:vAlign w:val="center"/>
          </w:tcPr>
          <w:p w:rsidR="00F279EA" w:rsidRPr="00747CB4" w:rsidRDefault="00F279EA" w:rsidP="000513FE">
            <w:pPr>
              <w:jc w:val="center"/>
              <w:rPr>
                <w:b/>
                <w:bCs/>
                <w:sz w:val="16"/>
                <w:szCs w:val="16"/>
              </w:rPr>
            </w:pPr>
            <w:r w:rsidRPr="00747CB4">
              <w:rPr>
                <w:b/>
                <w:bCs/>
                <w:sz w:val="16"/>
                <w:szCs w:val="16"/>
              </w:rPr>
              <w:t>252,55</w:t>
            </w:r>
          </w:p>
        </w:tc>
        <w:tc>
          <w:tcPr>
            <w:tcW w:w="709" w:type="dxa"/>
            <w:vAlign w:val="center"/>
          </w:tcPr>
          <w:p w:rsidR="00F279EA" w:rsidRPr="00747CB4" w:rsidRDefault="00F279EA" w:rsidP="000513FE">
            <w:pPr>
              <w:jc w:val="center"/>
              <w:rPr>
                <w:b/>
                <w:bCs/>
                <w:sz w:val="16"/>
                <w:szCs w:val="16"/>
              </w:rPr>
            </w:pPr>
            <w:r w:rsidRPr="00747CB4">
              <w:rPr>
                <w:b/>
                <w:bCs/>
                <w:sz w:val="16"/>
                <w:szCs w:val="16"/>
              </w:rPr>
              <w:t>247,59</w:t>
            </w:r>
          </w:p>
        </w:tc>
        <w:tc>
          <w:tcPr>
            <w:tcW w:w="708" w:type="dxa"/>
            <w:vAlign w:val="center"/>
          </w:tcPr>
          <w:p w:rsidR="00F279EA" w:rsidRPr="00747CB4" w:rsidRDefault="00F279EA" w:rsidP="000513FE">
            <w:pPr>
              <w:jc w:val="center"/>
              <w:rPr>
                <w:b/>
                <w:bCs/>
                <w:sz w:val="16"/>
                <w:szCs w:val="16"/>
              </w:rPr>
            </w:pPr>
            <w:r w:rsidRPr="00747CB4">
              <w:rPr>
                <w:b/>
                <w:bCs/>
                <w:sz w:val="16"/>
                <w:szCs w:val="16"/>
              </w:rPr>
              <w:t>147,25</w:t>
            </w:r>
          </w:p>
        </w:tc>
        <w:tc>
          <w:tcPr>
            <w:tcW w:w="709" w:type="dxa"/>
            <w:vAlign w:val="center"/>
          </w:tcPr>
          <w:p w:rsidR="00F279EA" w:rsidRPr="00747CB4" w:rsidRDefault="00F279EA" w:rsidP="000513FE">
            <w:pPr>
              <w:jc w:val="center"/>
              <w:rPr>
                <w:b/>
                <w:bCs/>
                <w:sz w:val="16"/>
                <w:szCs w:val="16"/>
              </w:rPr>
            </w:pPr>
            <w:r w:rsidRPr="00747CB4">
              <w:rPr>
                <w:b/>
                <w:bCs/>
                <w:sz w:val="16"/>
                <w:szCs w:val="16"/>
              </w:rPr>
              <w:t>493,49</w:t>
            </w:r>
          </w:p>
        </w:tc>
        <w:tc>
          <w:tcPr>
            <w:tcW w:w="709" w:type="dxa"/>
            <w:vAlign w:val="center"/>
          </w:tcPr>
          <w:p w:rsidR="00F279EA" w:rsidRPr="00747CB4" w:rsidRDefault="00F279EA" w:rsidP="000513FE">
            <w:pPr>
              <w:jc w:val="center"/>
              <w:rPr>
                <w:b/>
                <w:bCs/>
                <w:sz w:val="16"/>
                <w:szCs w:val="16"/>
              </w:rPr>
            </w:pPr>
            <w:r w:rsidRPr="00747CB4">
              <w:rPr>
                <w:b/>
                <w:bCs/>
                <w:sz w:val="16"/>
                <w:szCs w:val="16"/>
              </w:rPr>
              <w:t>432,99</w:t>
            </w:r>
          </w:p>
        </w:tc>
        <w:tc>
          <w:tcPr>
            <w:tcW w:w="709" w:type="dxa"/>
            <w:vAlign w:val="center"/>
          </w:tcPr>
          <w:p w:rsidR="00F279EA" w:rsidRPr="00864E66" w:rsidRDefault="00F279EA" w:rsidP="000513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351,49</w:t>
            </w:r>
          </w:p>
        </w:tc>
      </w:tr>
    </w:tbl>
    <w:p w:rsidR="00F279EA" w:rsidRDefault="00F279EA" w:rsidP="000513FE"/>
    <w:p w:rsidR="00F279EA" w:rsidRPr="00F61BF5" w:rsidRDefault="00F279EA" w:rsidP="000513FE">
      <w:pPr>
        <w:pStyle w:val="Nadpis3"/>
      </w:pPr>
      <w:r w:rsidRPr="00F61BF5">
        <w:t>Odpadní vody</w:t>
      </w:r>
    </w:p>
    <w:p w:rsidR="00F279EA" w:rsidRPr="00F25FFA" w:rsidRDefault="00F279EA" w:rsidP="000513FE"/>
    <w:p w:rsidR="00F279EA" w:rsidRPr="00B764B0" w:rsidRDefault="00F279EA" w:rsidP="000513FE">
      <w:pPr>
        <w:jc w:val="both"/>
        <w:rPr>
          <w:szCs w:val="24"/>
        </w:rPr>
      </w:pPr>
      <w:r w:rsidRPr="00B764B0">
        <w:rPr>
          <w:szCs w:val="24"/>
        </w:rPr>
        <w:t>Znečišťování vod bylo nejzávažnějším ekologickým dopadem provozovaných výrob. Do oblasti snižování míry znečištění vod byly v rámci výzkumu a realizace vynakládány největší finanční prostředky. Bylo vybudováno měřící místo na výtoku »Pohránovského kanálu« z areálu organizace, jež umožňuje již od 1. 1. 2005 měřit přesný objem proteklých vod. Další měřící místo bylo vybudováno v roce 2005 a měří průtok odpadních vod do »</w:t>
      </w:r>
      <w:proofErr w:type="spellStart"/>
      <w:r w:rsidRPr="00B764B0">
        <w:rPr>
          <w:szCs w:val="24"/>
        </w:rPr>
        <w:t>Butanolského</w:t>
      </w:r>
      <w:proofErr w:type="spellEnd"/>
      <w:r w:rsidRPr="00B764B0">
        <w:rPr>
          <w:szCs w:val="24"/>
        </w:rPr>
        <w:t xml:space="preserve"> kanálu«, které se vlévá do kanálu Pohránovského. Realizace byla k termínu 1. 11. 2005. Pravidelný monitoring znečištění pak umožňuje výpočet pro zpoplatnění znečištění vypouštěných odpadních vod. </w:t>
      </w:r>
    </w:p>
    <w:p w:rsidR="00F279EA" w:rsidRPr="00B764B0" w:rsidRDefault="00F279EA" w:rsidP="000513FE">
      <w:pPr>
        <w:jc w:val="both"/>
        <w:rPr>
          <w:szCs w:val="24"/>
        </w:rPr>
      </w:pPr>
      <w:r w:rsidRPr="00B764B0">
        <w:rPr>
          <w:szCs w:val="24"/>
        </w:rPr>
        <w:lastRenderedPageBreak/>
        <w:t xml:space="preserve">V roce 2007 začaly projektové práce na odvedení všech technologických vod přímo na ČOV </w:t>
      </w:r>
      <w:proofErr w:type="spellStart"/>
      <w:r w:rsidRPr="00B764B0">
        <w:rPr>
          <w:szCs w:val="24"/>
        </w:rPr>
        <w:t>Veolia</w:t>
      </w:r>
      <w:proofErr w:type="spellEnd"/>
      <w:r w:rsidRPr="00B764B0">
        <w:rPr>
          <w:szCs w:val="24"/>
        </w:rPr>
        <w:t xml:space="preserve">. Projekt byl ukončen v roce 2008, kdy bylo vystaveno povolení k výstavbě. První část byla realizována a kolaudována v roce 2009. Výstavba kanalizace byla nutnou podmínkou pro pokračování výrob pod IPPC (integrované povolení) – výroba </w:t>
      </w:r>
      <w:proofErr w:type="spellStart"/>
      <w:r w:rsidRPr="00B764B0">
        <w:rPr>
          <w:szCs w:val="24"/>
        </w:rPr>
        <w:t>pentritu</w:t>
      </w:r>
      <w:proofErr w:type="spellEnd"/>
      <w:r w:rsidRPr="00B764B0">
        <w:rPr>
          <w:szCs w:val="24"/>
        </w:rPr>
        <w:t xml:space="preserve"> a nitroglycerinu. V místě předávání této odpadní vody byl rovněž vybudován měřící bod. V roce 2010 byla realizována další etapa vedlejší kanalizace na úseku střelivin a výzkumu napojená na páteřní kanalizaci.</w:t>
      </w:r>
    </w:p>
    <w:p w:rsidR="00F279EA" w:rsidRPr="00B764B0" w:rsidRDefault="00F279EA" w:rsidP="000513FE">
      <w:pPr>
        <w:jc w:val="both"/>
        <w:rPr>
          <w:szCs w:val="24"/>
        </w:rPr>
      </w:pPr>
      <w:r w:rsidRPr="00B764B0">
        <w:rPr>
          <w:szCs w:val="24"/>
        </w:rPr>
        <w:t xml:space="preserve">Odpadní vody z výroben (chemická výroba v oblasti trhavin, výroby v části bezdýmných prachů i poloprovozní výroby energetických látek), které jsou nejvíce znečištěné, jsou přes přečerpávací jímky čerpány přímo na biologickou čistírnu odpadních vod akciové společnosti </w:t>
      </w:r>
      <w:proofErr w:type="spellStart"/>
      <w:r w:rsidRPr="00B764B0">
        <w:rPr>
          <w:szCs w:val="24"/>
        </w:rPr>
        <w:t>Veolia</w:t>
      </w:r>
      <w:proofErr w:type="spellEnd"/>
      <w:r w:rsidRPr="00B764B0">
        <w:rPr>
          <w:szCs w:val="24"/>
        </w:rPr>
        <w:t>. Z výsledků vypouštění odpadních vod je od roku 2010 jednoznačně vidět změnu vypouštěných parametrů po zprovoznění kanalizace v roce 2009 v prosinci.</w:t>
      </w:r>
    </w:p>
    <w:p w:rsidR="00F279EA" w:rsidRPr="00B764B0" w:rsidRDefault="00F279EA" w:rsidP="000513FE">
      <w:pPr>
        <w:jc w:val="both"/>
        <w:rPr>
          <w:szCs w:val="24"/>
        </w:rPr>
      </w:pPr>
      <w:r w:rsidRPr="00B764B0">
        <w:rPr>
          <w:szCs w:val="24"/>
        </w:rPr>
        <w:t xml:space="preserve">Prováděné výzkumy v oblasti likvidace znečištění odpadních vod budou po provedeném odzkoušení realizovány v rámci nových investičních akcí. Jedním z nových ověřovaných směrů odstraňování odpadních vod je výzkum </w:t>
      </w:r>
      <w:proofErr w:type="spellStart"/>
      <w:r w:rsidRPr="00B764B0">
        <w:rPr>
          <w:szCs w:val="24"/>
        </w:rPr>
        <w:t>fytoremediace</w:t>
      </w:r>
      <w:proofErr w:type="spellEnd"/>
      <w:r w:rsidRPr="00B764B0">
        <w:rPr>
          <w:szCs w:val="24"/>
        </w:rPr>
        <w:t xml:space="preserve">, který probíhá ve spolupráci s Akademií věd ČR. </w:t>
      </w:r>
    </w:p>
    <w:p w:rsidR="00F279EA" w:rsidRPr="00B764B0" w:rsidRDefault="00F279EA" w:rsidP="000513FE">
      <w:pPr>
        <w:spacing w:after="200"/>
        <w:jc w:val="both"/>
        <w:rPr>
          <w:szCs w:val="24"/>
        </w:rPr>
      </w:pPr>
      <w:r w:rsidRPr="00B764B0">
        <w:rPr>
          <w:szCs w:val="24"/>
        </w:rPr>
        <w:t xml:space="preserve">V posledních letech je zřejmý trend zvyšující se hodnoty </w:t>
      </w:r>
      <w:proofErr w:type="spellStart"/>
      <w:proofErr w:type="gramStart"/>
      <w:r w:rsidRPr="00B764B0">
        <w:rPr>
          <w:szCs w:val="24"/>
        </w:rPr>
        <w:t>CHSK</w:t>
      </w:r>
      <w:r w:rsidRPr="00B764B0">
        <w:rPr>
          <w:szCs w:val="24"/>
          <w:vertAlign w:val="subscript"/>
        </w:rPr>
        <w:t>Cr</w:t>
      </w:r>
      <w:proofErr w:type="spellEnd"/>
      <w:r w:rsidRPr="00B764B0">
        <w:rPr>
          <w:szCs w:val="24"/>
        </w:rPr>
        <w:t xml:space="preserve"> ,</w:t>
      </w:r>
      <w:proofErr w:type="gramEnd"/>
      <w:r w:rsidRPr="00B764B0">
        <w:rPr>
          <w:szCs w:val="24"/>
        </w:rPr>
        <w:t xml:space="preserve"> který je způsoben zejména zvýšením výroby sférických prachů.  Z tohoto důvodu je ve spolupráci s Universitou Pardubice řešen úkol TR s cílem nalézt vhodný „Způsob předčištění“ těchto vod před jejich vypuštěním do kanalizace.</w:t>
      </w:r>
    </w:p>
    <w:p w:rsidR="00F279EA" w:rsidRPr="00F61BF5" w:rsidRDefault="00F279EA" w:rsidP="000513FE">
      <w:pPr>
        <w:spacing w:after="200"/>
        <w:jc w:val="both"/>
        <w:rPr>
          <w:sz w:val="22"/>
        </w:rPr>
      </w:pPr>
    </w:p>
    <w:p w:rsidR="00F279EA" w:rsidRPr="00340C65" w:rsidRDefault="00F279EA" w:rsidP="000513FE">
      <w:pPr>
        <w:pStyle w:val="Nadpis3"/>
        <w:jc w:val="both"/>
        <w:rPr>
          <w:rFonts w:ascii="Times New Roman" w:hAnsi="Times New Roman" w:cs="Times New Roman"/>
          <w:b w:val="0"/>
        </w:rPr>
      </w:pPr>
      <w:r w:rsidRPr="00340C65">
        <w:rPr>
          <w:rFonts w:ascii="Times New Roman" w:hAnsi="Times New Roman" w:cs="Times New Roman"/>
          <w:b w:val="0"/>
        </w:rPr>
        <w:t>Tab. Znečištění likvidovaných odpadních vod podle vybraných ukazatelů (tuny)</w:t>
      </w:r>
    </w:p>
    <w:p w:rsidR="00F279EA" w:rsidRPr="00F45E9B" w:rsidRDefault="00F279EA" w:rsidP="000513FE">
      <w:pPr>
        <w:jc w:val="both"/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F279EA" w:rsidRPr="00F62B91" w:rsidTr="00C72539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62B91" w:rsidRDefault="00F279EA" w:rsidP="000513FE">
            <w:pPr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b/>
                <w:color w:val="000000"/>
                <w:sz w:val="18"/>
                <w:szCs w:val="18"/>
              </w:rPr>
              <w:t>Rok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A" w:rsidRPr="00F62B91" w:rsidRDefault="00F279EA" w:rsidP="000513FE">
            <w:pPr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b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A" w:rsidRPr="00F62B91" w:rsidRDefault="00F279EA" w:rsidP="000513FE">
            <w:pPr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A" w:rsidRPr="00F62B91" w:rsidRDefault="00F279EA" w:rsidP="000513FE">
            <w:pPr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A" w:rsidRPr="00F62B91" w:rsidRDefault="00F279EA" w:rsidP="000513FE">
            <w:pPr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A" w:rsidRPr="00F62B91" w:rsidRDefault="00F279EA" w:rsidP="000513FE">
            <w:pPr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A" w:rsidRPr="00F62B91" w:rsidRDefault="00F279EA" w:rsidP="000513F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62B91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A" w:rsidRPr="00F62B91" w:rsidRDefault="00F279EA" w:rsidP="000513FE">
            <w:pPr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A" w:rsidRPr="00F62B91" w:rsidRDefault="00F279EA" w:rsidP="000513FE">
            <w:pPr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A" w:rsidRPr="00864E66" w:rsidRDefault="00F279EA" w:rsidP="000513FE">
            <w:pPr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64E66">
              <w:rPr>
                <w:rFonts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A" w:rsidRPr="00864E66" w:rsidRDefault="00F279EA" w:rsidP="000513FE">
            <w:pPr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F279EA" w:rsidRPr="00F62B91" w:rsidTr="00C725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62B91" w:rsidRDefault="00F279EA" w:rsidP="000513FE">
            <w:pPr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F62B91">
              <w:rPr>
                <w:rFonts w:cs="Arial"/>
                <w:b/>
                <w:color w:val="000000"/>
                <w:sz w:val="18"/>
                <w:szCs w:val="18"/>
              </w:rPr>
              <w:t>CHSK</w:t>
            </w:r>
            <w:r w:rsidRPr="00F62B91">
              <w:rPr>
                <w:rFonts w:cs="Arial"/>
                <w:b/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A" w:rsidRPr="00F62B91" w:rsidRDefault="00F279EA" w:rsidP="000513FE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color w:val="000000"/>
                <w:sz w:val="18"/>
                <w:szCs w:val="18"/>
              </w:rPr>
              <w:t>7,01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A" w:rsidRPr="00F62B91" w:rsidRDefault="00F279EA" w:rsidP="000513FE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color w:val="000000"/>
                <w:sz w:val="18"/>
                <w:szCs w:val="18"/>
              </w:rPr>
              <w:t>72,32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A" w:rsidRPr="00F62B91" w:rsidRDefault="00F279EA" w:rsidP="000513FE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color w:val="000000"/>
                <w:sz w:val="18"/>
                <w:szCs w:val="18"/>
              </w:rPr>
              <w:t>68,42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A" w:rsidRPr="00F62B91" w:rsidRDefault="00F279EA" w:rsidP="000513FE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color w:val="000000"/>
                <w:sz w:val="18"/>
                <w:szCs w:val="18"/>
              </w:rPr>
              <w:t>93,63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A" w:rsidRPr="00F62B91" w:rsidRDefault="00F279EA" w:rsidP="000513FE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color w:val="000000"/>
                <w:sz w:val="18"/>
                <w:szCs w:val="18"/>
              </w:rPr>
              <w:t>114,88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A" w:rsidRPr="00F62B91" w:rsidRDefault="00F279EA" w:rsidP="000513FE">
            <w:pPr>
              <w:jc w:val="both"/>
              <w:rPr>
                <w:color w:val="000000"/>
                <w:sz w:val="18"/>
                <w:szCs w:val="18"/>
              </w:rPr>
            </w:pPr>
            <w:r w:rsidRPr="00F62B91">
              <w:rPr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A" w:rsidRPr="00F62B91" w:rsidRDefault="00F279EA" w:rsidP="000513FE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109,43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A" w:rsidRPr="00F62B91" w:rsidRDefault="00F279EA" w:rsidP="000513FE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A" w:rsidRPr="00864E66" w:rsidRDefault="00F279EA" w:rsidP="000513FE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4E66">
              <w:rPr>
                <w:rFonts w:cs="Arial"/>
                <w:color w:val="000000"/>
                <w:sz w:val="18"/>
                <w:szCs w:val="18"/>
              </w:rPr>
              <w:t>154,46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A" w:rsidRPr="00864E66" w:rsidRDefault="00F279EA" w:rsidP="000513FE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123,23</w:t>
            </w:r>
          </w:p>
        </w:tc>
      </w:tr>
      <w:tr w:rsidR="00F279EA" w:rsidRPr="00F62B91" w:rsidTr="00C725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62B91" w:rsidRDefault="00F279EA" w:rsidP="000513FE">
            <w:pPr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F62B91">
              <w:rPr>
                <w:rFonts w:cs="Arial"/>
                <w:b/>
                <w:color w:val="000000"/>
                <w:sz w:val="18"/>
                <w:szCs w:val="18"/>
              </w:rPr>
              <w:t>N</w:t>
            </w:r>
            <w:r w:rsidRPr="00F62B91">
              <w:rPr>
                <w:rFonts w:cs="Arial"/>
                <w:b/>
                <w:color w:val="000000"/>
                <w:sz w:val="18"/>
                <w:szCs w:val="18"/>
                <w:vertAlign w:val="subscript"/>
              </w:rPr>
              <w:t>anorg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A" w:rsidRPr="00F62B91" w:rsidRDefault="00F279EA" w:rsidP="000513FE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color w:val="000000"/>
                <w:sz w:val="18"/>
                <w:szCs w:val="18"/>
              </w:rPr>
              <w:t>2,33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A" w:rsidRPr="00F62B91" w:rsidRDefault="00F279EA" w:rsidP="000513FE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color w:val="000000"/>
                <w:sz w:val="18"/>
                <w:szCs w:val="18"/>
              </w:rPr>
              <w:t>30,13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A" w:rsidRPr="00F62B91" w:rsidRDefault="00F279EA" w:rsidP="000513FE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color w:val="000000"/>
                <w:sz w:val="18"/>
                <w:szCs w:val="18"/>
              </w:rPr>
              <w:t>23,05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A" w:rsidRPr="00F62B91" w:rsidRDefault="00F279EA" w:rsidP="000513FE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color w:val="000000"/>
                <w:sz w:val="18"/>
                <w:szCs w:val="18"/>
              </w:rPr>
              <w:t>44,45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A" w:rsidRPr="00F62B91" w:rsidRDefault="00F279EA" w:rsidP="000513FE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color w:val="000000"/>
                <w:sz w:val="18"/>
                <w:szCs w:val="18"/>
              </w:rPr>
              <w:t>43,33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A" w:rsidRPr="00F62B91" w:rsidRDefault="00F279EA" w:rsidP="000513FE">
            <w:pPr>
              <w:jc w:val="both"/>
              <w:rPr>
                <w:color w:val="000000"/>
                <w:sz w:val="18"/>
                <w:szCs w:val="18"/>
              </w:rPr>
            </w:pPr>
            <w:r w:rsidRPr="00F62B91">
              <w:rPr>
                <w:color w:val="000000"/>
                <w:sz w:val="18"/>
                <w:szCs w:val="18"/>
              </w:rPr>
              <w:t>40,64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A" w:rsidRPr="00F62B91" w:rsidRDefault="00F279EA" w:rsidP="000513FE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45,68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A" w:rsidRPr="00F62B91" w:rsidRDefault="00F279EA" w:rsidP="000513FE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56,73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A" w:rsidRPr="00864E66" w:rsidRDefault="00F279EA" w:rsidP="000513FE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4E66">
              <w:rPr>
                <w:rFonts w:cs="Arial"/>
                <w:color w:val="000000"/>
                <w:sz w:val="18"/>
                <w:szCs w:val="18"/>
              </w:rPr>
              <w:t>61,29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A" w:rsidRPr="00864E66" w:rsidRDefault="00F279EA" w:rsidP="000513FE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38,63</w:t>
            </w:r>
          </w:p>
        </w:tc>
      </w:tr>
      <w:tr w:rsidR="00F279EA" w:rsidRPr="00F62B91" w:rsidTr="00C7253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62B91" w:rsidRDefault="00F279EA" w:rsidP="000513FE">
            <w:pPr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b/>
                <w:color w:val="000000"/>
                <w:sz w:val="18"/>
                <w:szCs w:val="18"/>
              </w:rPr>
              <w:t>RAS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A" w:rsidRPr="00F62B91" w:rsidRDefault="00F279EA" w:rsidP="000513FE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color w:val="000000"/>
                <w:sz w:val="18"/>
                <w:szCs w:val="18"/>
              </w:rPr>
              <w:t>1,84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A" w:rsidRPr="00F62B91" w:rsidRDefault="00F279EA" w:rsidP="000513FE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color w:val="000000"/>
                <w:sz w:val="18"/>
                <w:szCs w:val="18"/>
              </w:rPr>
              <w:t>165,78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A" w:rsidRPr="00F62B91" w:rsidRDefault="00F279EA" w:rsidP="000513FE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color w:val="000000"/>
                <w:sz w:val="18"/>
                <w:szCs w:val="18"/>
              </w:rPr>
              <w:t>173,21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A" w:rsidRPr="00F62B91" w:rsidRDefault="00F279EA" w:rsidP="000513FE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color w:val="000000"/>
                <w:sz w:val="18"/>
                <w:szCs w:val="18"/>
              </w:rPr>
              <w:t>387,82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A" w:rsidRPr="00F62B91" w:rsidRDefault="00F279EA" w:rsidP="000513FE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62B91">
              <w:rPr>
                <w:rFonts w:cs="Arial"/>
                <w:color w:val="000000"/>
                <w:sz w:val="18"/>
                <w:szCs w:val="18"/>
              </w:rPr>
              <w:t>329,55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A" w:rsidRPr="00F62B91" w:rsidRDefault="00F279EA" w:rsidP="000513FE">
            <w:pPr>
              <w:jc w:val="both"/>
              <w:rPr>
                <w:color w:val="000000"/>
                <w:sz w:val="18"/>
                <w:szCs w:val="18"/>
              </w:rPr>
            </w:pPr>
            <w:r w:rsidRPr="00F62B91">
              <w:rPr>
                <w:color w:val="000000"/>
                <w:sz w:val="18"/>
                <w:szCs w:val="18"/>
              </w:rPr>
              <w:t>314,01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A" w:rsidRPr="00F62B91" w:rsidRDefault="00F279EA" w:rsidP="000513FE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252,61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A" w:rsidRPr="00F62B91" w:rsidRDefault="00F279EA" w:rsidP="000513FE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307,55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A" w:rsidRPr="00864E66" w:rsidRDefault="00F279EA" w:rsidP="000513FE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64E66">
              <w:rPr>
                <w:rFonts w:cs="Arial"/>
                <w:color w:val="000000"/>
                <w:sz w:val="18"/>
                <w:szCs w:val="18"/>
              </w:rPr>
              <w:t>248,88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A" w:rsidRPr="00864E66" w:rsidRDefault="00F279EA" w:rsidP="000513FE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162,34</w:t>
            </w:r>
          </w:p>
        </w:tc>
      </w:tr>
    </w:tbl>
    <w:p w:rsidR="00F279EA" w:rsidRPr="00F279EA" w:rsidRDefault="00F279EA" w:rsidP="000513FE">
      <w:pPr>
        <w:keepNext/>
        <w:keepLines/>
        <w:spacing w:before="200" w:after="0" w:line="276" w:lineRule="auto"/>
        <w:jc w:val="both"/>
        <w:outlineLvl w:val="1"/>
        <w:rPr>
          <w:rFonts w:eastAsia="Times New Roman"/>
          <w:b/>
          <w:bCs/>
          <w:vanish/>
          <w:sz w:val="26"/>
          <w:szCs w:val="26"/>
        </w:rPr>
      </w:pPr>
    </w:p>
    <w:p w:rsidR="00F279EA" w:rsidRPr="00F279EA" w:rsidRDefault="00F279EA" w:rsidP="000513FE">
      <w:pPr>
        <w:pStyle w:val="Nadpis2"/>
        <w:jc w:val="both"/>
      </w:pPr>
      <w:r w:rsidRPr="00F279EA">
        <w:t>Emise do ovzduší</w:t>
      </w:r>
    </w:p>
    <w:p w:rsidR="00F279EA" w:rsidRPr="00D46209" w:rsidRDefault="00F279EA" w:rsidP="000513FE">
      <w:pPr>
        <w:jc w:val="both"/>
      </w:pPr>
    </w:p>
    <w:p w:rsidR="00F279EA" w:rsidRPr="00B764B0" w:rsidRDefault="00F279EA" w:rsidP="000513FE">
      <w:pPr>
        <w:jc w:val="both"/>
        <w:rPr>
          <w:szCs w:val="24"/>
        </w:rPr>
      </w:pPr>
      <w:r w:rsidRPr="00B764B0">
        <w:rPr>
          <w:szCs w:val="24"/>
        </w:rPr>
        <w:t xml:space="preserve">V polovině roku 2003 došlo k snížení emisí </w:t>
      </w:r>
      <w:proofErr w:type="spellStart"/>
      <w:r w:rsidRPr="00B764B0">
        <w:rPr>
          <w:szCs w:val="24"/>
        </w:rPr>
        <w:t>NOx</w:t>
      </w:r>
      <w:proofErr w:type="spellEnd"/>
      <w:r w:rsidRPr="00B764B0">
        <w:rPr>
          <w:szCs w:val="24"/>
        </w:rPr>
        <w:t xml:space="preserve">, v důsledku odstavení výroby nitrotoluenů a tím k ukončení emisí z výroby </w:t>
      </w:r>
      <w:proofErr w:type="spellStart"/>
      <w:r w:rsidRPr="00B764B0">
        <w:rPr>
          <w:szCs w:val="24"/>
        </w:rPr>
        <w:t>mononitrotoluenů</w:t>
      </w:r>
      <w:proofErr w:type="spellEnd"/>
      <w:r w:rsidRPr="00B764B0">
        <w:rPr>
          <w:szCs w:val="24"/>
        </w:rPr>
        <w:t xml:space="preserve">, a dinitrotoluenů u nitrace, separace a praní. V roce 2009 a 2010 poklesla přechodně hodnota </w:t>
      </w:r>
      <w:proofErr w:type="spellStart"/>
      <w:r w:rsidRPr="00B764B0">
        <w:rPr>
          <w:szCs w:val="24"/>
        </w:rPr>
        <w:t>NOx</w:t>
      </w:r>
      <w:proofErr w:type="spellEnd"/>
      <w:r w:rsidRPr="00B764B0">
        <w:rPr>
          <w:szCs w:val="24"/>
        </w:rPr>
        <w:t xml:space="preserve"> z důvodu snížení výroby DNOK, TNR ale i </w:t>
      </w:r>
      <w:proofErr w:type="spellStart"/>
      <w:r w:rsidRPr="00B764B0">
        <w:rPr>
          <w:szCs w:val="24"/>
        </w:rPr>
        <w:t>pentritu</w:t>
      </w:r>
      <w:proofErr w:type="spellEnd"/>
      <w:r w:rsidRPr="00B764B0">
        <w:rPr>
          <w:szCs w:val="24"/>
        </w:rPr>
        <w:t xml:space="preserve">, ale v roce 2011 došlo k jejímu opětovnému mírnému nárůstu zejména s nárůstem výroby DNOK a </w:t>
      </w:r>
      <w:proofErr w:type="spellStart"/>
      <w:r w:rsidRPr="00B764B0">
        <w:rPr>
          <w:szCs w:val="24"/>
        </w:rPr>
        <w:t>pentritu</w:t>
      </w:r>
      <w:proofErr w:type="spellEnd"/>
      <w:r w:rsidRPr="00B764B0">
        <w:rPr>
          <w:szCs w:val="24"/>
        </w:rPr>
        <w:t xml:space="preserve">. Výroba DNOK byla poté odstavena v roce 2013, což mělo zásadní vliv na pokles emisí </w:t>
      </w:r>
      <w:proofErr w:type="spellStart"/>
      <w:r w:rsidRPr="00B764B0">
        <w:rPr>
          <w:szCs w:val="24"/>
        </w:rPr>
        <w:t>NOx</w:t>
      </w:r>
      <w:proofErr w:type="spellEnd"/>
      <w:r w:rsidRPr="00B764B0">
        <w:rPr>
          <w:szCs w:val="24"/>
        </w:rPr>
        <w:t xml:space="preserve"> v roce 2013.  </w:t>
      </w:r>
    </w:p>
    <w:p w:rsidR="00F279EA" w:rsidRPr="00B764B0" w:rsidRDefault="00F279EA" w:rsidP="000513FE">
      <w:pPr>
        <w:jc w:val="both"/>
        <w:rPr>
          <w:szCs w:val="24"/>
        </w:rPr>
      </w:pPr>
      <w:r w:rsidRPr="00B764B0">
        <w:rPr>
          <w:szCs w:val="24"/>
        </w:rPr>
        <w:t xml:space="preserve">V prvním čtvrtletí 2005 byla dokončena, zkolaudována a zprovozněna investiční akce přepojení zdrojů emisí diethyletheru a etanolu z výroben B 54 a B 55 na centrální adsorpční stanici B 56. Tímto propojením končí zdroje emisí (diethylether, etanol) z B54 a B55. </w:t>
      </w:r>
    </w:p>
    <w:p w:rsidR="00F279EA" w:rsidRPr="00B764B0" w:rsidRDefault="00F279EA" w:rsidP="00340C65">
      <w:pPr>
        <w:jc w:val="both"/>
        <w:rPr>
          <w:szCs w:val="24"/>
        </w:rPr>
      </w:pPr>
      <w:r w:rsidRPr="00B764B0">
        <w:rPr>
          <w:szCs w:val="24"/>
        </w:rPr>
        <w:t xml:space="preserve">Zvýšené množství </w:t>
      </w:r>
      <w:proofErr w:type="spellStart"/>
      <w:r w:rsidRPr="00B764B0">
        <w:rPr>
          <w:szCs w:val="24"/>
        </w:rPr>
        <w:t>NOx</w:t>
      </w:r>
      <w:proofErr w:type="spellEnd"/>
      <w:r w:rsidRPr="00B764B0">
        <w:rPr>
          <w:szCs w:val="24"/>
        </w:rPr>
        <w:t xml:space="preserve"> v roce 2005, 2006 i 2007 je způsobeno zvýšeným množstvím odstraňovaných výbušin na </w:t>
      </w:r>
      <w:proofErr w:type="gramStart"/>
      <w:r w:rsidRPr="00B764B0">
        <w:rPr>
          <w:szCs w:val="24"/>
        </w:rPr>
        <w:t>„ Zařízení</w:t>
      </w:r>
      <w:proofErr w:type="gramEnd"/>
      <w:r w:rsidRPr="00B764B0">
        <w:rPr>
          <w:szCs w:val="24"/>
        </w:rPr>
        <w:t xml:space="preserve"> na odstraňování odpadů T 54“.</w:t>
      </w:r>
    </w:p>
    <w:p w:rsidR="00F279EA" w:rsidRPr="00B764B0" w:rsidRDefault="00F279EA" w:rsidP="00340C65">
      <w:pPr>
        <w:jc w:val="both"/>
        <w:rPr>
          <w:szCs w:val="24"/>
        </w:rPr>
      </w:pPr>
      <w:r w:rsidRPr="00B764B0">
        <w:rPr>
          <w:szCs w:val="24"/>
        </w:rPr>
        <w:lastRenderedPageBreak/>
        <w:t>V rámci společnosti ve výbušinářské výrobě se sice nacházejí podle zákona a vyhlášek velké zdroje znečišťování ovzduší, ale množství emitovaných látek je velmi malé vzhledem k nevyužívání výrobních kapacit.</w:t>
      </w:r>
    </w:p>
    <w:p w:rsidR="00F279EA" w:rsidRPr="00B764B0" w:rsidRDefault="00F279EA" w:rsidP="00340C65">
      <w:pPr>
        <w:jc w:val="both"/>
        <w:rPr>
          <w:szCs w:val="24"/>
        </w:rPr>
      </w:pPr>
      <w:r w:rsidRPr="00B764B0">
        <w:rPr>
          <w:szCs w:val="24"/>
        </w:rPr>
        <w:t>Množství emisí š</w:t>
      </w:r>
      <w:r w:rsidR="000007C2">
        <w:rPr>
          <w:szCs w:val="24"/>
        </w:rPr>
        <w:t>kodlivin do ovzduší za roky 2010</w:t>
      </w:r>
      <w:r w:rsidRPr="00B764B0">
        <w:rPr>
          <w:szCs w:val="24"/>
        </w:rPr>
        <w:t xml:space="preserve"> až 2018 </w:t>
      </w:r>
      <w:r w:rsidR="000007C2">
        <w:rPr>
          <w:szCs w:val="24"/>
        </w:rPr>
        <w:t>jsou uvedeny v tabulce.</w:t>
      </w:r>
    </w:p>
    <w:p w:rsidR="00F279EA" w:rsidRPr="00B764B0" w:rsidRDefault="00F279EA" w:rsidP="00340C65">
      <w:pPr>
        <w:jc w:val="both"/>
        <w:rPr>
          <w:szCs w:val="24"/>
        </w:rPr>
      </w:pPr>
      <w:r w:rsidRPr="00B764B0">
        <w:rPr>
          <w:szCs w:val="24"/>
        </w:rPr>
        <w:t>Hodnoty v uplynulém roce jsou i přes enormní nárůst tržeb setrvalé. Výjimkou je nepatrné zvýšení emisí Nox, vyvolané zvýšením objemu výro</w:t>
      </w:r>
      <w:r w:rsidR="00A27F46" w:rsidRPr="00B764B0">
        <w:rPr>
          <w:szCs w:val="24"/>
        </w:rPr>
        <w:t xml:space="preserve">by </w:t>
      </w:r>
      <w:proofErr w:type="spellStart"/>
      <w:proofErr w:type="gramStart"/>
      <w:r w:rsidR="00A27F46" w:rsidRPr="00B764B0">
        <w:rPr>
          <w:szCs w:val="24"/>
        </w:rPr>
        <w:t>pentritu</w:t>
      </w:r>
      <w:proofErr w:type="spellEnd"/>
      <w:r w:rsidR="00A27F46" w:rsidRPr="00B764B0">
        <w:rPr>
          <w:szCs w:val="24"/>
        </w:rPr>
        <w:t xml:space="preserve">  a</w:t>
      </w:r>
      <w:proofErr w:type="gramEnd"/>
      <w:r w:rsidR="00A27F46" w:rsidRPr="00B764B0">
        <w:rPr>
          <w:szCs w:val="24"/>
        </w:rPr>
        <w:t xml:space="preserve"> </w:t>
      </w:r>
      <w:proofErr w:type="spellStart"/>
      <w:r w:rsidR="00A27F46" w:rsidRPr="00B764B0">
        <w:rPr>
          <w:szCs w:val="24"/>
        </w:rPr>
        <w:t>trinitrorezorcinu</w:t>
      </w:r>
      <w:proofErr w:type="spellEnd"/>
    </w:p>
    <w:p w:rsidR="00F279EA" w:rsidRPr="00B764B0" w:rsidRDefault="00F279EA" w:rsidP="00340C65">
      <w:pPr>
        <w:jc w:val="both"/>
        <w:rPr>
          <w:szCs w:val="24"/>
        </w:rPr>
      </w:pPr>
      <w:r w:rsidRPr="00B764B0">
        <w:rPr>
          <w:szCs w:val="24"/>
        </w:rPr>
        <w:t xml:space="preserve">Z dlouhodobého hlediska však vykazuje celková hodnota emisí jednoznačně pozitivní, klesající trend, díky rušení neekologických výrob. </w:t>
      </w:r>
    </w:p>
    <w:p w:rsidR="00F279EA" w:rsidRPr="00F61BF5" w:rsidRDefault="00F279EA" w:rsidP="00396051">
      <w:pPr>
        <w:jc w:val="both"/>
        <w:rPr>
          <w:sz w:val="22"/>
        </w:rPr>
      </w:pPr>
    </w:p>
    <w:p w:rsidR="00F279EA" w:rsidRPr="00AA3965" w:rsidRDefault="00F279EA" w:rsidP="00396051">
      <w:pPr>
        <w:jc w:val="both"/>
      </w:pPr>
      <w:r w:rsidRPr="00AA3965">
        <w:t>Tab. Emise do ovzduší (tuny)</w:t>
      </w:r>
    </w:p>
    <w:p w:rsidR="00F279EA" w:rsidRPr="00747CB4" w:rsidRDefault="00F279EA" w:rsidP="00396051">
      <w:pPr>
        <w:jc w:val="both"/>
      </w:pPr>
    </w:p>
    <w:tbl>
      <w:tblPr>
        <w:tblW w:w="8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</w:tblGrid>
      <w:tr w:rsidR="00F279EA" w:rsidRPr="00F62B91" w:rsidTr="00C72539">
        <w:tc>
          <w:tcPr>
            <w:tcW w:w="1061" w:type="dxa"/>
            <w:shd w:val="clear" w:color="auto" w:fill="auto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 w:rsidRPr="00F62B91">
              <w:rPr>
                <w:rFonts w:cs="Arial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b/>
                <w:sz w:val="18"/>
                <w:szCs w:val="18"/>
              </w:rPr>
            </w:pPr>
            <w:r w:rsidRPr="00F62B91">
              <w:rPr>
                <w:rFonts w:cs="Arial"/>
                <w:b/>
                <w:sz w:val="18"/>
                <w:szCs w:val="18"/>
              </w:rPr>
              <w:t>2010</w:t>
            </w: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b/>
                <w:sz w:val="18"/>
                <w:szCs w:val="18"/>
              </w:rPr>
            </w:pPr>
            <w:r w:rsidRPr="00F62B91">
              <w:rPr>
                <w:rFonts w:cs="Arial"/>
                <w:b/>
                <w:sz w:val="18"/>
                <w:szCs w:val="18"/>
              </w:rPr>
              <w:t>2011</w:t>
            </w: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b/>
                <w:sz w:val="18"/>
                <w:szCs w:val="18"/>
              </w:rPr>
            </w:pPr>
            <w:r w:rsidRPr="00F62B91">
              <w:rPr>
                <w:rFonts w:cs="Arial"/>
                <w:b/>
                <w:sz w:val="18"/>
                <w:szCs w:val="18"/>
              </w:rPr>
              <w:t>2012</w:t>
            </w: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b/>
                <w:sz w:val="18"/>
                <w:szCs w:val="18"/>
              </w:rPr>
            </w:pPr>
            <w:r w:rsidRPr="00F62B91">
              <w:rPr>
                <w:rFonts w:cs="Arial"/>
                <w:b/>
                <w:sz w:val="18"/>
                <w:szCs w:val="18"/>
              </w:rPr>
              <w:t>2013</w:t>
            </w: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b/>
                <w:sz w:val="18"/>
                <w:szCs w:val="18"/>
              </w:rPr>
            </w:pPr>
            <w:r w:rsidRPr="00F62B91">
              <w:rPr>
                <w:rFonts w:cs="Arial"/>
                <w:b/>
                <w:sz w:val="18"/>
                <w:szCs w:val="18"/>
              </w:rPr>
              <w:t>2014</w:t>
            </w: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2015</w:t>
            </w: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2016</w:t>
            </w:r>
          </w:p>
        </w:tc>
        <w:tc>
          <w:tcPr>
            <w:tcW w:w="847" w:type="dxa"/>
            <w:vAlign w:val="center"/>
          </w:tcPr>
          <w:p w:rsidR="00F279EA" w:rsidRPr="00864E66" w:rsidRDefault="00F279EA" w:rsidP="00396051">
            <w:pPr>
              <w:spacing w:before="60"/>
              <w:jc w:val="both"/>
              <w:rPr>
                <w:rFonts w:cs="Arial"/>
                <w:b/>
                <w:sz w:val="18"/>
                <w:szCs w:val="18"/>
              </w:rPr>
            </w:pPr>
            <w:r w:rsidRPr="00864E66">
              <w:rPr>
                <w:rFonts w:cs="Arial"/>
                <w:b/>
                <w:sz w:val="18"/>
                <w:szCs w:val="18"/>
              </w:rPr>
              <w:t>2017</w:t>
            </w:r>
          </w:p>
        </w:tc>
        <w:tc>
          <w:tcPr>
            <w:tcW w:w="847" w:type="dxa"/>
            <w:vAlign w:val="center"/>
          </w:tcPr>
          <w:p w:rsidR="00F279EA" w:rsidRPr="00864E66" w:rsidRDefault="00F279EA" w:rsidP="00396051">
            <w:pPr>
              <w:spacing w:before="6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2018</w:t>
            </w:r>
          </w:p>
        </w:tc>
      </w:tr>
      <w:tr w:rsidR="00F279EA" w:rsidRPr="00F62B91" w:rsidTr="00C72539">
        <w:tc>
          <w:tcPr>
            <w:tcW w:w="1061" w:type="dxa"/>
            <w:shd w:val="clear" w:color="auto" w:fill="auto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 w:rsidRPr="00F62B91">
              <w:rPr>
                <w:rFonts w:cs="Arial"/>
                <w:sz w:val="18"/>
                <w:szCs w:val="18"/>
              </w:rPr>
              <w:t>Etanol</w:t>
            </w: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 w:rsidRPr="00F62B91">
              <w:rPr>
                <w:rFonts w:cs="Arial"/>
                <w:sz w:val="18"/>
                <w:szCs w:val="18"/>
              </w:rPr>
              <w:t>1,55</w:t>
            </w: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 w:rsidRPr="00F62B91">
              <w:rPr>
                <w:rFonts w:cs="Arial"/>
                <w:sz w:val="18"/>
                <w:szCs w:val="18"/>
              </w:rPr>
              <w:t>1,01</w:t>
            </w: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 w:rsidRPr="00F62B91">
              <w:rPr>
                <w:rFonts w:cs="Arial"/>
                <w:sz w:val="18"/>
                <w:szCs w:val="18"/>
              </w:rPr>
              <w:t>1,40</w:t>
            </w: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 w:rsidRPr="00F62B91">
              <w:rPr>
                <w:rFonts w:cs="Arial"/>
                <w:sz w:val="18"/>
                <w:szCs w:val="18"/>
              </w:rPr>
              <w:t>1,35</w:t>
            </w: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1,36</w:t>
            </w: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2,22</w:t>
            </w: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2,02</w:t>
            </w:r>
          </w:p>
        </w:tc>
        <w:tc>
          <w:tcPr>
            <w:tcW w:w="847" w:type="dxa"/>
            <w:vAlign w:val="center"/>
          </w:tcPr>
          <w:p w:rsidR="00F279EA" w:rsidRPr="00864E66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 w:rsidRPr="00864E66">
              <w:rPr>
                <w:rFonts w:cs="Arial"/>
                <w:sz w:val="18"/>
                <w:szCs w:val="18"/>
              </w:rPr>
              <w:t>2,41</w:t>
            </w:r>
          </w:p>
        </w:tc>
        <w:tc>
          <w:tcPr>
            <w:tcW w:w="847" w:type="dxa"/>
            <w:vAlign w:val="center"/>
          </w:tcPr>
          <w:p w:rsidR="00F279EA" w:rsidRPr="00864E66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2,12</w:t>
            </w:r>
          </w:p>
        </w:tc>
      </w:tr>
      <w:tr w:rsidR="00F279EA" w:rsidRPr="00F62B91" w:rsidTr="00C72539">
        <w:tc>
          <w:tcPr>
            <w:tcW w:w="1061" w:type="dxa"/>
            <w:shd w:val="clear" w:color="auto" w:fill="auto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F62B91">
              <w:rPr>
                <w:rFonts w:cs="Arial"/>
                <w:sz w:val="18"/>
                <w:szCs w:val="18"/>
              </w:rPr>
              <w:t>NO</w:t>
            </w:r>
            <w:r w:rsidRPr="00F62B91">
              <w:rPr>
                <w:rFonts w:cs="Arial"/>
                <w:sz w:val="18"/>
                <w:szCs w:val="18"/>
                <w:vertAlign w:val="subscript"/>
              </w:rPr>
              <w:t>x</w:t>
            </w:r>
            <w:proofErr w:type="spellEnd"/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 w:rsidRPr="00F62B91">
              <w:rPr>
                <w:rFonts w:cs="Arial"/>
                <w:sz w:val="18"/>
                <w:szCs w:val="18"/>
              </w:rPr>
              <w:t>2,94</w:t>
            </w: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 w:rsidRPr="00F62B91">
              <w:rPr>
                <w:rFonts w:cs="Arial"/>
                <w:sz w:val="18"/>
                <w:szCs w:val="18"/>
              </w:rPr>
              <w:t>4,78</w:t>
            </w: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 w:rsidRPr="00F62B91">
              <w:rPr>
                <w:rFonts w:cs="Arial"/>
                <w:sz w:val="18"/>
                <w:szCs w:val="18"/>
              </w:rPr>
              <w:t>3,82</w:t>
            </w: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 w:rsidRPr="00F62B91">
              <w:rPr>
                <w:rFonts w:cs="Arial"/>
                <w:sz w:val="18"/>
                <w:szCs w:val="18"/>
              </w:rPr>
              <w:t>0,72</w:t>
            </w: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0,73</w:t>
            </w: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3,08</w:t>
            </w: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3,86</w:t>
            </w:r>
          </w:p>
        </w:tc>
        <w:tc>
          <w:tcPr>
            <w:tcW w:w="847" w:type="dxa"/>
            <w:vAlign w:val="center"/>
          </w:tcPr>
          <w:p w:rsidR="00F279EA" w:rsidRPr="00864E66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 w:rsidRPr="00864E66">
              <w:rPr>
                <w:rFonts w:cs="Arial"/>
                <w:sz w:val="18"/>
                <w:szCs w:val="18"/>
              </w:rPr>
              <w:t>3,76</w:t>
            </w:r>
          </w:p>
        </w:tc>
        <w:tc>
          <w:tcPr>
            <w:tcW w:w="847" w:type="dxa"/>
            <w:vAlign w:val="center"/>
          </w:tcPr>
          <w:p w:rsidR="00F279EA" w:rsidRPr="00864E66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3,45</w:t>
            </w:r>
          </w:p>
        </w:tc>
      </w:tr>
      <w:tr w:rsidR="00F279EA" w:rsidRPr="00F62B91" w:rsidTr="00C72539">
        <w:tc>
          <w:tcPr>
            <w:tcW w:w="1061" w:type="dxa"/>
            <w:shd w:val="clear" w:color="auto" w:fill="auto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 w:rsidRPr="00864E66">
              <w:rPr>
                <w:rFonts w:cs="Arial"/>
                <w:sz w:val="18"/>
                <w:szCs w:val="18"/>
              </w:rPr>
              <w:t>TOC</w:t>
            </w: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F279EA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F279EA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F279EA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F279EA" w:rsidRPr="00864E66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 w:rsidRPr="00864E66">
              <w:rPr>
                <w:rFonts w:cs="Arial"/>
                <w:sz w:val="18"/>
                <w:szCs w:val="18"/>
              </w:rPr>
              <w:t>2,40</w:t>
            </w:r>
          </w:p>
        </w:tc>
        <w:tc>
          <w:tcPr>
            <w:tcW w:w="847" w:type="dxa"/>
            <w:vAlign w:val="center"/>
          </w:tcPr>
          <w:p w:rsidR="00F279EA" w:rsidRPr="00864E66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0,29</w:t>
            </w:r>
          </w:p>
        </w:tc>
      </w:tr>
      <w:tr w:rsidR="00F279EA" w:rsidRPr="00F62B91" w:rsidTr="00C72539">
        <w:tc>
          <w:tcPr>
            <w:tcW w:w="1061" w:type="dxa"/>
            <w:shd w:val="clear" w:color="auto" w:fill="auto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 w:rsidRPr="00864E66">
              <w:rPr>
                <w:rFonts w:cs="Arial"/>
                <w:sz w:val="18"/>
                <w:szCs w:val="18"/>
              </w:rPr>
              <w:t>VOC</w:t>
            </w: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F279EA" w:rsidRPr="00864E66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 w:rsidRPr="00864E66">
              <w:rPr>
                <w:rFonts w:cs="Arial"/>
                <w:sz w:val="18"/>
                <w:szCs w:val="18"/>
              </w:rPr>
              <w:t>0,67</w:t>
            </w:r>
          </w:p>
        </w:tc>
        <w:tc>
          <w:tcPr>
            <w:tcW w:w="847" w:type="dxa"/>
            <w:vAlign w:val="center"/>
          </w:tcPr>
          <w:p w:rsidR="00F279EA" w:rsidRPr="00864E66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0,26</w:t>
            </w:r>
          </w:p>
        </w:tc>
      </w:tr>
      <w:tr w:rsidR="00F279EA" w:rsidRPr="00F62B91" w:rsidTr="00C72539">
        <w:tc>
          <w:tcPr>
            <w:tcW w:w="1061" w:type="dxa"/>
            <w:shd w:val="clear" w:color="auto" w:fill="auto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 w:rsidRPr="00F62B91">
              <w:rPr>
                <w:rFonts w:cs="Arial"/>
                <w:sz w:val="18"/>
                <w:szCs w:val="18"/>
              </w:rPr>
              <w:t>Ostatní</w:t>
            </w: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 w:rsidRPr="00F62B91">
              <w:rPr>
                <w:rFonts w:cs="Arial"/>
                <w:sz w:val="18"/>
                <w:szCs w:val="18"/>
              </w:rPr>
              <w:t>0,03</w:t>
            </w: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 w:rsidRPr="00F62B91">
              <w:rPr>
                <w:rFonts w:cs="Arial"/>
                <w:sz w:val="18"/>
                <w:szCs w:val="18"/>
              </w:rPr>
              <w:t>0,11</w:t>
            </w: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 w:rsidRPr="00F62B91">
              <w:rPr>
                <w:rFonts w:cs="Arial"/>
                <w:sz w:val="18"/>
                <w:szCs w:val="18"/>
              </w:rPr>
              <w:t>0,13</w:t>
            </w: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 w:rsidRPr="00F62B91">
              <w:rPr>
                <w:rFonts w:cs="Arial"/>
                <w:sz w:val="18"/>
                <w:szCs w:val="18"/>
              </w:rPr>
              <w:t>0,38</w:t>
            </w: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0,29</w:t>
            </w: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0,03</w:t>
            </w: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0,06</w:t>
            </w:r>
          </w:p>
        </w:tc>
        <w:tc>
          <w:tcPr>
            <w:tcW w:w="847" w:type="dxa"/>
            <w:vAlign w:val="center"/>
          </w:tcPr>
          <w:p w:rsidR="00F279EA" w:rsidRPr="00864E66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 w:rsidRPr="00864E66">
              <w:rPr>
                <w:rFonts w:cs="Arial"/>
                <w:sz w:val="18"/>
                <w:szCs w:val="18"/>
              </w:rPr>
              <w:t>0,02</w:t>
            </w:r>
          </w:p>
        </w:tc>
        <w:tc>
          <w:tcPr>
            <w:tcW w:w="847" w:type="dxa"/>
            <w:vAlign w:val="center"/>
          </w:tcPr>
          <w:p w:rsidR="00F279EA" w:rsidRPr="00864E66" w:rsidRDefault="00F279EA" w:rsidP="00396051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0,02</w:t>
            </w:r>
          </w:p>
        </w:tc>
      </w:tr>
      <w:tr w:rsidR="00F279EA" w:rsidRPr="00F62B91" w:rsidTr="00C72539">
        <w:tc>
          <w:tcPr>
            <w:tcW w:w="1061" w:type="dxa"/>
            <w:shd w:val="clear" w:color="auto" w:fill="auto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b/>
                <w:sz w:val="18"/>
                <w:szCs w:val="18"/>
              </w:rPr>
            </w:pPr>
            <w:r w:rsidRPr="00F62B91">
              <w:rPr>
                <w:rFonts w:cs="Arial"/>
                <w:b/>
                <w:sz w:val="18"/>
                <w:szCs w:val="18"/>
              </w:rPr>
              <w:t>Celkem</w:t>
            </w: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b/>
                <w:sz w:val="18"/>
                <w:szCs w:val="18"/>
              </w:rPr>
            </w:pPr>
            <w:r w:rsidRPr="00F62B91">
              <w:rPr>
                <w:rFonts w:cs="Arial"/>
                <w:b/>
                <w:sz w:val="18"/>
                <w:szCs w:val="18"/>
              </w:rPr>
              <w:t>4,52</w:t>
            </w: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b/>
                <w:sz w:val="18"/>
                <w:szCs w:val="18"/>
              </w:rPr>
            </w:pPr>
            <w:r w:rsidRPr="00F62B91">
              <w:rPr>
                <w:rFonts w:cs="Arial"/>
                <w:b/>
                <w:sz w:val="18"/>
                <w:szCs w:val="18"/>
              </w:rPr>
              <w:t>5,90</w:t>
            </w: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b/>
                <w:sz w:val="18"/>
                <w:szCs w:val="18"/>
              </w:rPr>
            </w:pPr>
            <w:r w:rsidRPr="00F62B91">
              <w:rPr>
                <w:rFonts w:cs="Arial"/>
                <w:b/>
                <w:sz w:val="18"/>
                <w:szCs w:val="18"/>
              </w:rPr>
              <w:t>5,35</w:t>
            </w: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b/>
                <w:sz w:val="18"/>
                <w:szCs w:val="18"/>
              </w:rPr>
            </w:pPr>
            <w:r w:rsidRPr="00F62B91">
              <w:rPr>
                <w:rFonts w:cs="Arial"/>
                <w:b/>
                <w:sz w:val="18"/>
                <w:szCs w:val="18"/>
              </w:rPr>
              <w:t>2,45</w:t>
            </w: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2,44</w:t>
            </w: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5,33</w:t>
            </w: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5,94</w:t>
            </w:r>
          </w:p>
        </w:tc>
        <w:tc>
          <w:tcPr>
            <w:tcW w:w="847" w:type="dxa"/>
            <w:vAlign w:val="center"/>
          </w:tcPr>
          <w:p w:rsidR="00F279EA" w:rsidRPr="00864E66" w:rsidRDefault="00F279EA" w:rsidP="00396051">
            <w:pPr>
              <w:spacing w:before="60"/>
              <w:jc w:val="both"/>
              <w:rPr>
                <w:rFonts w:cs="Arial"/>
                <w:b/>
                <w:sz w:val="18"/>
                <w:szCs w:val="18"/>
              </w:rPr>
            </w:pPr>
            <w:r w:rsidRPr="00864E66">
              <w:rPr>
                <w:rFonts w:cs="Arial"/>
                <w:b/>
                <w:sz w:val="18"/>
                <w:szCs w:val="18"/>
              </w:rPr>
              <w:t>9,26</w:t>
            </w:r>
          </w:p>
        </w:tc>
        <w:tc>
          <w:tcPr>
            <w:tcW w:w="847" w:type="dxa"/>
            <w:vAlign w:val="center"/>
          </w:tcPr>
          <w:p w:rsidR="00F279EA" w:rsidRPr="00F62B91" w:rsidRDefault="00F279EA" w:rsidP="00396051">
            <w:pPr>
              <w:spacing w:before="6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6,14</w:t>
            </w:r>
          </w:p>
        </w:tc>
      </w:tr>
    </w:tbl>
    <w:p w:rsidR="00F279EA" w:rsidRDefault="00F279EA" w:rsidP="00396051">
      <w:pPr>
        <w:jc w:val="both"/>
      </w:pPr>
    </w:p>
    <w:p w:rsidR="00F279EA" w:rsidRPr="00A27F46" w:rsidRDefault="00F279EA" w:rsidP="00396051">
      <w:pPr>
        <w:pStyle w:val="Nadpis2"/>
        <w:jc w:val="both"/>
      </w:pPr>
      <w:r w:rsidRPr="00A27F46">
        <w:t>Spotřeba energií</w:t>
      </w:r>
    </w:p>
    <w:p w:rsidR="00F279EA" w:rsidRDefault="00F279EA" w:rsidP="00396051">
      <w:pPr>
        <w:jc w:val="both"/>
      </w:pPr>
    </w:p>
    <w:p w:rsidR="00F279EA" w:rsidRPr="00B764B0" w:rsidRDefault="00F279EA" w:rsidP="00396051">
      <w:pPr>
        <w:jc w:val="both"/>
        <w:rPr>
          <w:szCs w:val="24"/>
        </w:rPr>
      </w:pPr>
      <w:r w:rsidRPr="00B764B0">
        <w:rPr>
          <w:szCs w:val="24"/>
        </w:rPr>
        <w:t>Množství spotřebovaných energií koresponduje s nárůstem objemu výroby vlastních výrobků společnosti. Společnost se nepřetržitě snaží o snižování měrné spotřeby energií na jednotku produkce.</w:t>
      </w:r>
    </w:p>
    <w:p w:rsidR="00F279EA" w:rsidRPr="00F61BF5" w:rsidRDefault="00F279EA" w:rsidP="00396051">
      <w:pPr>
        <w:jc w:val="both"/>
        <w:rPr>
          <w:sz w:val="22"/>
        </w:rPr>
      </w:pPr>
    </w:p>
    <w:p w:rsidR="00F279EA" w:rsidRPr="00340C65" w:rsidRDefault="00F279EA" w:rsidP="00396051">
      <w:pPr>
        <w:pStyle w:val="Nadpis3"/>
        <w:jc w:val="both"/>
        <w:rPr>
          <w:rFonts w:ascii="Times New Roman" w:hAnsi="Times New Roman" w:cs="Times New Roman"/>
          <w:b w:val="0"/>
        </w:rPr>
      </w:pPr>
      <w:r w:rsidRPr="00340C65">
        <w:rPr>
          <w:rFonts w:ascii="Times New Roman" w:hAnsi="Times New Roman" w:cs="Times New Roman"/>
          <w:b w:val="0"/>
        </w:rPr>
        <w:t>Tab. Spotřeba energií</w:t>
      </w:r>
    </w:p>
    <w:p w:rsidR="00F279EA" w:rsidRPr="00AA3965" w:rsidRDefault="00F279EA" w:rsidP="00396051">
      <w:pPr>
        <w:jc w:val="both"/>
      </w:pPr>
    </w:p>
    <w:tbl>
      <w:tblPr>
        <w:tblW w:w="85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9"/>
        <w:gridCol w:w="707"/>
        <w:gridCol w:w="707"/>
        <w:gridCol w:w="707"/>
        <w:gridCol w:w="707"/>
        <w:gridCol w:w="707"/>
        <w:gridCol w:w="707"/>
        <w:gridCol w:w="707"/>
        <w:gridCol w:w="707"/>
        <w:gridCol w:w="719"/>
      </w:tblGrid>
      <w:tr w:rsidR="00F279EA" w:rsidRPr="00E12A3C" w:rsidTr="00C72539">
        <w:trPr>
          <w:trHeight w:val="315"/>
        </w:trPr>
        <w:tc>
          <w:tcPr>
            <w:tcW w:w="2139" w:type="dxa"/>
            <w:shd w:val="clear" w:color="auto" w:fill="auto"/>
            <w:vAlign w:val="center"/>
            <w:hideMark/>
          </w:tcPr>
          <w:p w:rsidR="00F279EA" w:rsidRPr="00E12A3C" w:rsidRDefault="00F279EA" w:rsidP="00396051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E12A3C">
              <w:rPr>
                <w:rFonts w:cs="Arial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b/>
                <w:sz w:val="16"/>
                <w:szCs w:val="16"/>
              </w:rPr>
            </w:pPr>
            <w:r w:rsidRPr="00E12A3C"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b/>
                <w:sz w:val="16"/>
                <w:szCs w:val="16"/>
              </w:rPr>
            </w:pPr>
            <w:r w:rsidRPr="00E12A3C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b/>
                <w:sz w:val="16"/>
                <w:szCs w:val="16"/>
              </w:rPr>
            </w:pPr>
            <w:r w:rsidRPr="00E12A3C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b/>
                <w:sz w:val="16"/>
                <w:szCs w:val="16"/>
              </w:rPr>
            </w:pPr>
            <w:r w:rsidRPr="00E12A3C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b/>
                <w:sz w:val="16"/>
                <w:szCs w:val="16"/>
              </w:rPr>
            </w:pPr>
            <w:r w:rsidRPr="00E12A3C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b/>
                <w:sz w:val="16"/>
                <w:szCs w:val="16"/>
              </w:rPr>
            </w:pPr>
            <w:r w:rsidRPr="00E12A3C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b/>
                <w:sz w:val="16"/>
                <w:szCs w:val="16"/>
              </w:rPr>
            </w:pPr>
            <w:r w:rsidRPr="00E12A3C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b/>
                <w:sz w:val="16"/>
                <w:szCs w:val="16"/>
              </w:rPr>
            </w:pPr>
            <w:r w:rsidRPr="00E12A3C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719" w:type="dxa"/>
            <w:vAlign w:val="center"/>
          </w:tcPr>
          <w:p w:rsidR="00F279EA" w:rsidRPr="00E12A3C" w:rsidRDefault="00F279EA" w:rsidP="00396051">
            <w:pPr>
              <w:jc w:val="both"/>
              <w:rPr>
                <w:b/>
                <w:sz w:val="16"/>
                <w:szCs w:val="16"/>
              </w:rPr>
            </w:pPr>
            <w:r w:rsidRPr="00E12A3C">
              <w:rPr>
                <w:b/>
                <w:sz w:val="16"/>
                <w:szCs w:val="16"/>
              </w:rPr>
              <w:t>2018</w:t>
            </w:r>
          </w:p>
        </w:tc>
      </w:tr>
      <w:tr w:rsidR="00F279EA" w:rsidRPr="00E12A3C" w:rsidTr="00C72539">
        <w:trPr>
          <w:trHeight w:val="615"/>
        </w:trPr>
        <w:tc>
          <w:tcPr>
            <w:tcW w:w="2139" w:type="dxa"/>
            <w:shd w:val="clear" w:color="auto" w:fill="auto"/>
            <w:vAlign w:val="center"/>
            <w:hideMark/>
          </w:tcPr>
          <w:p w:rsidR="00F279EA" w:rsidRPr="00E12A3C" w:rsidRDefault="00F279EA" w:rsidP="00396051">
            <w:pPr>
              <w:jc w:val="both"/>
              <w:rPr>
                <w:rFonts w:cs="Arial"/>
                <w:sz w:val="18"/>
                <w:szCs w:val="18"/>
              </w:rPr>
            </w:pPr>
            <w:r w:rsidRPr="00E12A3C">
              <w:rPr>
                <w:rFonts w:cs="Arial"/>
                <w:sz w:val="18"/>
                <w:szCs w:val="18"/>
              </w:rPr>
              <w:t>Spotřeba pitné vody (tis. m</w:t>
            </w:r>
            <w:r w:rsidRPr="00E12A3C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E12A3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39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38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34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30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25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24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27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28</w:t>
            </w:r>
          </w:p>
        </w:tc>
        <w:tc>
          <w:tcPr>
            <w:tcW w:w="719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44,8</w:t>
            </w:r>
          </w:p>
        </w:tc>
      </w:tr>
      <w:tr w:rsidR="00F279EA" w:rsidRPr="00E12A3C" w:rsidTr="00C72539">
        <w:trPr>
          <w:trHeight w:val="570"/>
        </w:trPr>
        <w:tc>
          <w:tcPr>
            <w:tcW w:w="2139" w:type="dxa"/>
            <w:shd w:val="clear" w:color="auto" w:fill="auto"/>
            <w:vAlign w:val="center"/>
            <w:hideMark/>
          </w:tcPr>
          <w:p w:rsidR="00F279EA" w:rsidRPr="00E12A3C" w:rsidRDefault="00F279EA" w:rsidP="00396051">
            <w:pPr>
              <w:jc w:val="both"/>
              <w:rPr>
                <w:rFonts w:cs="Arial"/>
                <w:sz w:val="18"/>
                <w:szCs w:val="18"/>
              </w:rPr>
            </w:pPr>
            <w:r w:rsidRPr="00E12A3C">
              <w:rPr>
                <w:rFonts w:cs="Arial"/>
                <w:sz w:val="18"/>
                <w:szCs w:val="18"/>
              </w:rPr>
              <w:t>Spotřeba páry (tis. GJ)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125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112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119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129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118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123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131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140</w:t>
            </w:r>
          </w:p>
        </w:tc>
        <w:tc>
          <w:tcPr>
            <w:tcW w:w="719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147,095</w:t>
            </w:r>
          </w:p>
        </w:tc>
      </w:tr>
      <w:tr w:rsidR="00F279EA" w:rsidRPr="00E12A3C" w:rsidTr="00C72539">
        <w:trPr>
          <w:trHeight w:val="722"/>
        </w:trPr>
        <w:tc>
          <w:tcPr>
            <w:tcW w:w="2139" w:type="dxa"/>
            <w:shd w:val="clear" w:color="auto" w:fill="auto"/>
            <w:vAlign w:val="center"/>
            <w:hideMark/>
          </w:tcPr>
          <w:p w:rsidR="00F279EA" w:rsidRPr="00E12A3C" w:rsidRDefault="00F279EA" w:rsidP="00396051">
            <w:pPr>
              <w:jc w:val="both"/>
              <w:rPr>
                <w:rFonts w:cs="Arial"/>
                <w:sz w:val="18"/>
                <w:szCs w:val="18"/>
              </w:rPr>
            </w:pPr>
            <w:r w:rsidRPr="00E12A3C">
              <w:rPr>
                <w:rFonts w:cs="Arial"/>
                <w:sz w:val="18"/>
                <w:szCs w:val="18"/>
              </w:rPr>
              <w:t>Spotřeba technologické vody (tis. m</w:t>
            </w:r>
            <w:r w:rsidRPr="00E12A3C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E12A3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463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461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436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485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507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503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452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528</w:t>
            </w:r>
          </w:p>
        </w:tc>
        <w:tc>
          <w:tcPr>
            <w:tcW w:w="719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537</w:t>
            </w:r>
          </w:p>
        </w:tc>
      </w:tr>
      <w:tr w:rsidR="00F279EA" w:rsidRPr="00E12A3C" w:rsidTr="00C72539">
        <w:trPr>
          <w:trHeight w:val="615"/>
        </w:trPr>
        <w:tc>
          <w:tcPr>
            <w:tcW w:w="2139" w:type="dxa"/>
            <w:shd w:val="clear" w:color="auto" w:fill="auto"/>
            <w:vAlign w:val="center"/>
            <w:hideMark/>
          </w:tcPr>
          <w:p w:rsidR="00F279EA" w:rsidRPr="00E12A3C" w:rsidRDefault="00F279EA" w:rsidP="00396051">
            <w:pPr>
              <w:jc w:val="both"/>
              <w:rPr>
                <w:rFonts w:cs="Arial"/>
                <w:sz w:val="18"/>
                <w:szCs w:val="18"/>
              </w:rPr>
            </w:pPr>
            <w:r w:rsidRPr="00E12A3C">
              <w:rPr>
                <w:rFonts w:cs="Arial"/>
                <w:sz w:val="18"/>
                <w:szCs w:val="18"/>
              </w:rPr>
              <w:lastRenderedPageBreak/>
              <w:t xml:space="preserve">Vzduch stlačený </w:t>
            </w:r>
            <w:r w:rsidRPr="00E12A3C">
              <w:rPr>
                <w:rFonts w:cs="Arial"/>
                <w:sz w:val="18"/>
                <w:szCs w:val="18"/>
              </w:rPr>
              <w:br/>
              <w:t>(tis. m</w:t>
            </w:r>
            <w:r w:rsidRPr="00E12A3C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E12A3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4187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4337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4242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4133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4381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4196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3765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3630</w:t>
            </w:r>
          </w:p>
        </w:tc>
        <w:tc>
          <w:tcPr>
            <w:tcW w:w="719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3507</w:t>
            </w:r>
          </w:p>
        </w:tc>
      </w:tr>
      <w:tr w:rsidR="00F279EA" w:rsidRPr="00E12A3C" w:rsidTr="00C72539">
        <w:trPr>
          <w:trHeight w:val="570"/>
        </w:trPr>
        <w:tc>
          <w:tcPr>
            <w:tcW w:w="2139" w:type="dxa"/>
            <w:shd w:val="clear" w:color="auto" w:fill="auto"/>
            <w:vAlign w:val="center"/>
            <w:hideMark/>
          </w:tcPr>
          <w:p w:rsidR="00F279EA" w:rsidRPr="00E12A3C" w:rsidRDefault="00F279EA" w:rsidP="00396051">
            <w:pPr>
              <w:jc w:val="both"/>
              <w:rPr>
                <w:rFonts w:cs="Arial"/>
                <w:sz w:val="18"/>
                <w:szCs w:val="18"/>
              </w:rPr>
            </w:pPr>
            <w:r w:rsidRPr="00E12A3C">
              <w:rPr>
                <w:rFonts w:cs="Arial"/>
                <w:sz w:val="18"/>
                <w:szCs w:val="18"/>
              </w:rPr>
              <w:t>Elektrická energie (</w:t>
            </w:r>
            <w:proofErr w:type="spellStart"/>
            <w:r w:rsidRPr="00E12A3C">
              <w:rPr>
                <w:rFonts w:cs="Arial"/>
                <w:sz w:val="18"/>
                <w:szCs w:val="18"/>
              </w:rPr>
              <w:t>MWh</w:t>
            </w:r>
            <w:proofErr w:type="spellEnd"/>
            <w:r w:rsidRPr="00E12A3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4096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4046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4056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4240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4594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4527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5407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6188</w:t>
            </w:r>
          </w:p>
        </w:tc>
        <w:tc>
          <w:tcPr>
            <w:tcW w:w="719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5791</w:t>
            </w:r>
          </w:p>
        </w:tc>
      </w:tr>
      <w:tr w:rsidR="00F279EA" w:rsidRPr="00E12A3C" w:rsidTr="00C72539">
        <w:trPr>
          <w:trHeight w:val="570"/>
        </w:trPr>
        <w:tc>
          <w:tcPr>
            <w:tcW w:w="2139" w:type="dxa"/>
            <w:shd w:val="clear" w:color="auto" w:fill="auto"/>
            <w:vAlign w:val="center"/>
          </w:tcPr>
          <w:p w:rsidR="00F279EA" w:rsidRPr="00E12A3C" w:rsidRDefault="00F279EA" w:rsidP="00396051">
            <w:pPr>
              <w:jc w:val="both"/>
              <w:rPr>
                <w:rFonts w:cs="Arial"/>
                <w:sz w:val="18"/>
                <w:szCs w:val="18"/>
              </w:rPr>
            </w:pPr>
            <w:r w:rsidRPr="00E12A3C">
              <w:rPr>
                <w:rFonts w:cs="Arial"/>
                <w:sz w:val="18"/>
                <w:szCs w:val="18"/>
              </w:rPr>
              <w:t>Celková produkce zboží v tunách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6294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6421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6208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6617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6798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6821</w:t>
            </w:r>
          </w:p>
        </w:tc>
        <w:tc>
          <w:tcPr>
            <w:tcW w:w="719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6621</w:t>
            </w:r>
          </w:p>
        </w:tc>
      </w:tr>
      <w:tr w:rsidR="00F279EA" w:rsidRPr="00E12A3C" w:rsidTr="00C72539">
        <w:trPr>
          <w:trHeight w:val="570"/>
        </w:trPr>
        <w:tc>
          <w:tcPr>
            <w:tcW w:w="2139" w:type="dxa"/>
            <w:shd w:val="clear" w:color="auto" w:fill="auto"/>
            <w:vAlign w:val="center"/>
          </w:tcPr>
          <w:p w:rsidR="00F279EA" w:rsidRPr="00E12A3C" w:rsidRDefault="00F279EA" w:rsidP="00396051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12A3C">
              <w:rPr>
                <w:rFonts w:cs="Arial"/>
                <w:b/>
                <w:sz w:val="18"/>
                <w:szCs w:val="18"/>
              </w:rPr>
              <w:t xml:space="preserve">Spotřeba ekvivalentu </w:t>
            </w:r>
            <w:proofErr w:type="spellStart"/>
            <w:r w:rsidRPr="00E12A3C">
              <w:rPr>
                <w:rFonts w:cs="Arial"/>
                <w:b/>
                <w:sz w:val="18"/>
                <w:szCs w:val="18"/>
              </w:rPr>
              <w:t>toe</w:t>
            </w:r>
            <w:proofErr w:type="spellEnd"/>
            <w:r w:rsidRPr="00E12A3C">
              <w:rPr>
                <w:rFonts w:cs="Arial"/>
                <w:b/>
                <w:sz w:val="18"/>
                <w:szCs w:val="18"/>
              </w:rPr>
              <w:t xml:space="preserve"> na ∑ produkce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b/>
                <w:sz w:val="16"/>
                <w:szCs w:val="16"/>
              </w:rPr>
            </w:pPr>
            <w:r w:rsidRPr="00E12A3C">
              <w:rPr>
                <w:b/>
                <w:sz w:val="16"/>
                <w:szCs w:val="16"/>
              </w:rPr>
              <w:t>3291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b/>
                <w:sz w:val="16"/>
                <w:szCs w:val="16"/>
              </w:rPr>
            </w:pPr>
            <w:r w:rsidRPr="00E12A3C">
              <w:rPr>
                <w:b/>
                <w:sz w:val="16"/>
                <w:szCs w:val="16"/>
              </w:rPr>
              <w:t>3446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b/>
                <w:sz w:val="16"/>
                <w:szCs w:val="16"/>
              </w:rPr>
            </w:pPr>
            <w:r w:rsidRPr="00E12A3C">
              <w:rPr>
                <w:b/>
                <w:sz w:val="16"/>
                <w:szCs w:val="16"/>
              </w:rPr>
              <w:t>3213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b/>
                <w:sz w:val="16"/>
                <w:szCs w:val="16"/>
              </w:rPr>
            </w:pPr>
            <w:r w:rsidRPr="00E12A3C">
              <w:rPr>
                <w:b/>
                <w:sz w:val="16"/>
                <w:szCs w:val="16"/>
              </w:rPr>
              <w:t>3327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b/>
                <w:sz w:val="16"/>
                <w:szCs w:val="16"/>
              </w:rPr>
            </w:pPr>
            <w:r w:rsidRPr="00E12A3C">
              <w:rPr>
                <w:b/>
                <w:sz w:val="16"/>
                <w:szCs w:val="16"/>
              </w:rPr>
              <w:t>3592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b/>
                <w:sz w:val="16"/>
                <w:szCs w:val="16"/>
              </w:rPr>
            </w:pPr>
            <w:r w:rsidRPr="00E12A3C">
              <w:rPr>
                <w:b/>
                <w:sz w:val="16"/>
                <w:szCs w:val="16"/>
              </w:rPr>
              <w:t>3878</w:t>
            </w:r>
          </w:p>
        </w:tc>
        <w:tc>
          <w:tcPr>
            <w:tcW w:w="719" w:type="dxa"/>
            <w:vAlign w:val="center"/>
          </w:tcPr>
          <w:p w:rsidR="00F279EA" w:rsidRPr="00E12A3C" w:rsidRDefault="00F279EA" w:rsidP="00396051">
            <w:pPr>
              <w:jc w:val="both"/>
              <w:rPr>
                <w:b/>
                <w:sz w:val="16"/>
                <w:szCs w:val="16"/>
              </w:rPr>
            </w:pPr>
            <w:r w:rsidRPr="00E12A3C">
              <w:rPr>
                <w:b/>
                <w:sz w:val="16"/>
                <w:szCs w:val="16"/>
              </w:rPr>
              <w:t>4008</w:t>
            </w:r>
          </w:p>
        </w:tc>
      </w:tr>
      <w:tr w:rsidR="00F279EA" w:rsidRPr="00E12A3C" w:rsidTr="00C72539">
        <w:trPr>
          <w:trHeight w:val="570"/>
        </w:trPr>
        <w:tc>
          <w:tcPr>
            <w:tcW w:w="2139" w:type="dxa"/>
            <w:shd w:val="clear" w:color="auto" w:fill="auto"/>
            <w:vAlign w:val="center"/>
          </w:tcPr>
          <w:p w:rsidR="00F279EA" w:rsidRPr="00E12A3C" w:rsidRDefault="00F279EA" w:rsidP="00396051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12A3C">
              <w:rPr>
                <w:rFonts w:cs="Arial"/>
                <w:b/>
                <w:sz w:val="18"/>
                <w:szCs w:val="18"/>
              </w:rPr>
              <w:t xml:space="preserve">Spotřeba ekvivalentu </w:t>
            </w:r>
            <w:proofErr w:type="spellStart"/>
            <w:r w:rsidRPr="00E12A3C">
              <w:rPr>
                <w:rFonts w:cs="Arial"/>
                <w:b/>
                <w:sz w:val="18"/>
                <w:szCs w:val="18"/>
              </w:rPr>
              <w:t>toe</w:t>
            </w:r>
            <w:proofErr w:type="spellEnd"/>
            <w:r w:rsidRPr="00E12A3C">
              <w:rPr>
                <w:rFonts w:cs="Arial"/>
                <w:b/>
                <w:sz w:val="18"/>
                <w:szCs w:val="18"/>
              </w:rPr>
              <w:t xml:space="preserve"> na 1 t produkce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sz w:val="16"/>
                <w:szCs w:val="16"/>
              </w:rPr>
            </w:pPr>
            <w:r w:rsidRPr="00E12A3C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b/>
                <w:sz w:val="16"/>
                <w:szCs w:val="16"/>
              </w:rPr>
            </w:pPr>
            <w:r w:rsidRPr="00E12A3C">
              <w:rPr>
                <w:b/>
                <w:sz w:val="16"/>
                <w:szCs w:val="16"/>
              </w:rPr>
              <w:t>0,523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b/>
                <w:sz w:val="16"/>
                <w:szCs w:val="16"/>
              </w:rPr>
            </w:pPr>
            <w:r w:rsidRPr="00E12A3C">
              <w:rPr>
                <w:b/>
                <w:sz w:val="16"/>
                <w:szCs w:val="16"/>
              </w:rPr>
              <w:t>0,537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b/>
                <w:sz w:val="16"/>
                <w:szCs w:val="16"/>
              </w:rPr>
            </w:pPr>
            <w:r w:rsidRPr="00E12A3C">
              <w:rPr>
                <w:b/>
                <w:sz w:val="16"/>
                <w:szCs w:val="16"/>
              </w:rPr>
              <w:t>0,518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b/>
                <w:sz w:val="16"/>
                <w:szCs w:val="16"/>
              </w:rPr>
            </w:pPr>
            <w:r w:rsidRPr="00E12A3C">
              <w:rPr>
                <w:b/>
                <w:sz w:val="16"/>
                <w:szCs w:val="16"/>
              </w:rPr>
              <w:t>0,503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b/>
                <w:sz w:val="16"/>
                <w:szCs w:val="16"/>
              </w:rPr>
            </w:pPr>
            <w:r w:rsidRPr="00E12A3C">
              <w:rPr>
                <w:b/>
                <w:sz w:val="16"/>
                <w:szCs w:val="16"/>
              </w:rPr>
              <w:t>0,528</w:t>
            </w:r>
          </w:p>
        </w:tc>
        <w:tc>
          <w:tcPr>
            <w:tcW w:w="707" w:type="dxa"/>
            <w:vAlign w:val="center"/>
          </w:tcPr>
          <w:p w:rsidR="00F279EA" w:rsidRPr="00E12A3C" w:rsidRDefault="00F279EA" w:rsidP="00396051">
            <w:pPr>
              <w:jc w:val="both"/>
              <w:rPr>
                <w:b/>
                <w:sz w:val="16"/>
                <w:szCs w:val="16"/>
              </w:rPr>
            </w:pPr>
            <w:r w:rsidRPr="00E12A3C">
              <w:rPr>
                <w:b/>
                <w:sz w:val="16"/>
                <w:szCs w:val="16"/>
              </w:rPr>
              <w:t>0,569</w:t>
            </w:r>
          </w:p>
        </w:tc>
        <w:tc>
          <w:tcPr>
            <w:tcW w:w="719" w:type="dxa"/>
            <w:vAlign w:val="center"/>
          </w:tcPr>
          <w:p w:rsidR="00F279EA" w:rsidRPr="00E12A3C" w:rsidRDefault="00F279EA" w:rsidP="00396051">
            <w:pPr>
              <w:jc w:val="both"/>
              <w:rPr>
                <w:b/>
                <w:sz w:val="16"/>
                <w:szCs w:val="16"/>
              </w:rPr>
            </w:pPr>
            <w:r w:rsidRPr="00E12A3C">
              <w:rPr>
                <w:b/>
                <w:sz w:val="16"/>
                <w:szCs w:val="16"/>
              </w:rPr>
              <w:t>0,605</w:t>
            </w:r>
          </w:p>
        </w:tc>
      </w:tr>
    </w:tbl>
    <w:p w:rsidR="00F279EA" w:rsidRPr="00A27F46" w:rsidRDefault="00F279EA" w:rsidP="00396051">
      <w:pPr>
        <w:keepNext/>
        <w:keepLines/>
        <w:spacing w:before="200" w:after="0" w:line="276" w:lineRule="auto"/>
        <w:jc w:val="both"/>
        <w:outlineLvl w:val="1"/>
        <w:rPr>
          <w:rFonts w:eastAsia="Times New Roman"/>
          <w:b/>
          <w:bCs/>
          <w:vanish/>
          <w:sz w:val="26"/>
          <w:szCs w:val="26"/>
        </w:rPr>
      </w:pPr>
    </w:p>
    <w:p w:rsidR="00F279EA" w:rsidRPr="00A27F46" w:rsidRDefault="00F279EA" w:rsidP="00396051">
      <w:pPr>
        <w:pStyle w:val="Nadpis2"/>
        <w:jc w:val="both"/>
      </w:pPr>
      <w:r w:rsidRPr="00A27F46">
        <w:t>Bezpečnost práce</w:t>
      </w:r>
    </w:p>
    <w:p w:rsidR="00F279EA" w:rsidRPr="00B945D7" w:rsidRDefault="00F279EA" w:rsidP="00396051">
      <w:pPr>
        <w:jc w:val="both"/>
      </w:pPr>
    </w:p>
    <w:p w:rsidR="00F279EA" w:rsidRPr="00B764B0" w:rsidRDefault="00F279EA" w:rsidP="00396051">
      <w:pPr>
        <w:jc w:val="both"/>
        <w:rPr>
          <w:szCs w:val="24"/>
        </w:rPr>
      </w:pPr>
      <w:r w:rsidRPr="00B764B0">
        <w:rPr>
          <w:szCs w:val="24"/>
        </w:rPr>
        <w:t>Bezpečnost práce a ochrana zdraví zaměstnanců je pro vedení společnosti prioritou. Společnost má zpracovány an</w:t>
      </w:r>
      <w:r w:rsidR="00105C43">
        <w:rPr>
          <w:szCs w:val="24"/>
        </w:rPr>
        <w:t>alýzy rizik pro všechny výrobní činnosti</w:t>
      </w:r>
      <w:r w:rsidRPr="00B764B0">
        <w:rPr>
          <w:szCs w:val="24"/>
        </w:rPr>
        <w:t>. Vedení veřejně prohlašuje, že veškeré procesy jsou řízeny bezpečně a budou přizpůsobovány platným zákonům a předpisům, bude chráněno zdraví zaměstnanců, dodavatelů, zákazníků a veřejnosti.</w:t>
      </w:r>
    </w:p>
    <w:p w:rsidR="00F279EA" w:rsidRPr="00B764B0" w:rsidRDefault="00F279EA" w:rsidP="00396051">
      <w:pPr>
        <w:jc w:val="both"/>
        <w:rPr>
          <w:szCs w:val="24"/>
        </w:rPr>
      </w:pPr>
      <w:r w:rsidRPr="00B764B0">
        <w:rPr>
          <w:szCs w:val="24"/>
        </w:rPr>
        <w:t xml:space="preserve">Měřítkem pro úroveň bezpečnosti práce je počet pracovních </w:t>
      </w:r>
      <w:r w:rsidR="00105C43">
        <w:rPr>
          <w:szCs w:val="24"/>
        </w:rPr>
        <w:t xml:space="preserve">úrazů zaměstnanců v souvislosti s výrobní činností. </w:t>
      </w:r>
    </w:p>
    <w:p w:rsidR="00F279EA" w:rsidRPr="00AA3965" w:rsidRDefault="00F279EA" w:rsidP="00396051">
      <w:pPr>
        <w:jc w:val="both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1540"/>
        <w:gridCol w:w="1701"/>
        <w:gridCol w:w="1701"/>
        <w:gridCol w:w="1560"/>
      </w:tblGrid>
      <w:tr w:rsidR="00F279EA" w:rsidRPr="00F60F55" w:rsidTr="00C72539">
        <w:trPr>
          <w:jc w:val="center"/>
        </w:trPr>
        <w:tc>
          <w:tcPr>
            <w:tcW w:w="836" w:type="dxa"/>
            <w:vAlign w:val="center"/>
          </w:tcPr>
          <w:p w:rsidR="00F279EA" w:rsidRPr="00F60F55" w:rsidRDefault="00F279EA" w:rsidP="00396051">
            <w:pPr>
              <w:jc w:val="both"/>
              <w:rPr>
                <w:b/>
                <w:sz w:val="18"/>
                <w:szCs w:val="18"/>
              </w:rPr>
            </w:pPr>
            <w:r w:rsidRPr="00F60F55">
              <w:rPr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1540" w:type="dxa"/>
            <w:vAlign w:val="center"/>
          </w:tcPr>
          <w:p w:rsidR="00F279EA" w:rsidRPr="00F60F55" w:rsidRDefault="00F279EA" w:rsidP="00396051">
            <w:pPr>
              <w:jc w:val="both"/>
              <w:rPr>
                <w:b/>
                <w:sz w:val="18"/>
                <w:szCs w:val="18"/>
              </w:rPr>
            </w:pPr>
            <w:r w:rsidRPr="00F60F55">
              <w:rPr>
                <w:b/>
                <w:bCs/>
                <w:sz w:val="18"/>
                <w:szCs w:val="18"/>
              </w:rPr>
              <w:t>Počet pracovních úrazů</w:t>
            </w:r>
          </w:p>
        </w:tc>
        <w:tc>
          <w:tcPr>
            <w:tcW w:w="1701" w:type="dxa"/>
            <w:vAlign w:val="center"/>
          </w:tcPr>
          <w:p w:rsidR="00F279EA" w:rsidRPr="00F60F55" w:rsidRDefault="00F279EA" w:rsidP="00396051">
            <w:pPr>
              <w:jc w:val="both"/>
              <w:rPr>
                <w:b/>
                <w:sz w:val="18"/>
                <w:szCs w:val="18"/>
              </w:rPr>
            </w:pPr>
            <w:r w:rsidRPr="00F60F55">
              <w:rPr>
                <w:b/>
                <w:sz w:val="18"/>
                <w:szCs w:val="18"/>
              </w:rPr>
              <w:t>Absence kalendářních dnů</w:t>
            </w:r>
          </w:p>
        </w:tc>
        <w:tc>
          <w:tcPr>
            <w:tcW w:w="1701" w:type="dxa"/>
            <w:vAlign w:val="center"/>
          </w:tcPr>
          <w:p w:rsidR="00F279EA" w:rsidRPr="00F60F55" w:rsidRDefault="00F279EA" w:rsidP="00396051">
            <w:pPr>
              <w:jc w:val="both"/>
              <w:rPr>
                <w:b/>
                <w:bCs/>
                <w:sz w:val="18"/>
                <w:szCs w:val="18"/>
              </w:rPr>
            </w:pPr>
            <w:r w:rsidRPr="00F60F55">
              <w:rPr>
                <w:b/>
                <w:sz w:val="18"/>
                <w:szCs w:val="18"/>
              </w:rPr>
              <w:t>% pracovní neschopnosti</w:t>
            </w:r>
          </w:p>
        </w:tc>
        <w:tc>
          <w:tcPr>
            <w:tcW w:w="1560" w:type="dxa"/>
            <w:vAlign w:val="center"/>
          </w:tcPr>
          <w:p w:rsidR="00F279EA" w:rsidRPr="00F60F55" w:rsidRDefault="00F279EA" w:rsidP="00396051">
            <w:pPr>
              <w:jc w:val="both"/>
              <w:rPr>
                <w:b/>
                <w:bCs/>
                <w:sz w:val="18"/>
                <w:szCs w:val="18"/>
              </w:rPr>
            </w:pPr>
            <w:r w:rsidRPr="00F60F55">
              <w:rPr>
                <w:b/>
                <w:sz w:val="18"/>
                <w:szCs w:val="18"/>
              </w:rPr>
              <w:t>Četnost</w:t>
            </w:r>
          </w:p>
        </w:tc>
      </w:tr>
      <w:tr w:rsidR="00F279EA" w:rsidRPr="00F60F55" w:rsidTr="00C72539">
        <w:trPr>
          <w:jc w:val="center"/>
        </w:trPr>
        <w:tc>
          <w:tcPr>
            <w:tcW w:w="836" w:type="dxa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2006</w:t>
            </w:r>
          </w:p>
        </w:tc>
        <w:tc>
          <w:tcPr>
            <w:tcW w:w="1540" w:type="dxa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592</w:t>
            </w:r>
          </w:p>
        </w:tc>
        <w:tc>
          <w:tcPr>
            <w:tcW w:w="1701" w:type="dxa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0,28</w:t>
            </w:r>
          </w:p>
        </w:tc>
        <w:tc>
          <w:tcPr>
            <w:tcW w:w="1560" w:type="dxa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2,24</w:t>
            </w:r>
          </w:p>
        </w:tc>
      </w:tr>
      <w:tr w:rsidR="00F279EA" w:rsidRPr="00F60F55" w:rsidTr="00C72539">
        <w:trPr>
          <w:jc w:val="center"/>
        </w:trPr>
        <w:tc>
          <w:tcPr>
            <w:tcW w:w="836" w:type="dxa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2007</w:t>
            </w:r>
          </w:p>
        </w:tc>
        <w:tc>
          <w:tcPr>
            <w:tcW w:w="1540" w:type="dxa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362</w:t>
            </w:r>
          </w:p>
        </w:tc>
        <w:tc>
          <w:tcPr>
            <w:tcW w:w="1701" w:type="dxa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0,17</w:t>
            </w:r>
          </w:p>
        </w:tc>
        <w:tc>
          <w:tcPr>
            <w:tcW w:w="1560" w:type="dxa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0,86</w:t>
            </w:r>
          </w:p>
        </w:tc>
      </w:tr>
      <w:tr w:rsidR="00F279EA" w:rsidRPr="00F60F55" w:rsidTr="00C72539">
        <w:trPr>
          <w:jc w:val="center"/>
        </w:trPr>
        <w:tc>
          <w:tcPr>
            <w:tcW w:w="836" w:type="dxa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2008</w:t>
            </w:r>
          </w:p>
        </w:tc>
        <w:tc>
          <w:tcPr>
            <w:tcW w:w="1540" w:type="dxa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253</w:t>
            </w:r>
          </w:p>
        </w:tc>
        <w:tc>
          <w:tcPr>
            <w:tcW w:w="1701" w:type="dxa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0,13</w:t>
            </w:r>
          </w:p>
        </w:tc>
        <w:tc>
          <w:tcPr>
            <w:tcW w:w="1560" w:type="dxa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0,92</w:t>
            </w:r>
          </w:p>
        </w:tc>
      </w:tr>
      <w:tr w:rsidR="00F279EA" w:rsidRPr="00F60F55" w:rsidTr="00C72539">
        <w:trPr>
          <w:jc w:val="center"/>
        </w:trPr>
        <w:tc>
          <w:tcPr>
            <w:tcW w:w="836" w:type="dxa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2009</w:t>
            </w:r>
          </w:p>
        </w:tc>
        <w:tc>
          <w:tcPr>
            <w:tcW w:w="1540" w:type="dxa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462</w:t>
            </w:r>
          </w:p>
        </w:tc>
        <w:tc>
          <w:tcPr>
            <w:tcW w:w="1701" w:type="dxa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0,20</w:t>
            </w:r>
          </w:p>
        </w:tc>
        <w:tc>
          <w:tcPr>
            <w:tcW w:w="1560" w:type="dxa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1,18</w:t>
            </w:r>
          </w:p>
        </w:tc>
      </w:tr>
      <w:tr w:rsidR="00F279EA" w:rsidRPr="00F60F55" w:rsidTr="00C72539">
        <w:trPr>
          <w:jc w:val="center"/>
        </w:trPr>
        <w:tc>
          <w:tcPr>
            <w:tcW w:w="836" w:type="dxa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2010</w:t>
            </w:r>
          </w:p>
        </w:tc>
        <w:tc>
          <w:tcPr>
            <w:tcW w:w="1540" w:type="dxa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516</w:t>
            </w:r>
          </w:p>
        </w:tc>
        <w:tc>
          <w:tcPr>
            <w:tcW w:w="1701" w:type="dxa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0,31</w:t>
            </w:r>
          </w:p>
        </w:tc>
        <w:tc>
          <w:tcPr>
            <w:tcW w:w="1560" w:type="dxa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2,19</w:t>
            </w:r>
          </w:p>
        </w:tc>
      </w:tr>
      <w:tr w:rsidR="00F279EA" w:rsidRPr="00F60F55" w:rsidTr="00C72539">
        <w:trPr>
          <w:jc w:val="center"/>
        </w:trPr>
        <w:tc>
          <w:tcPr>
            <w:tcW w:w="836" w:type="dxa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2011</w:t>
            </w:r>
          </w:p>
        </w:tc>
        <w:tc>
          <w:tcPr>
            <w:tcW w:w="1540" w:type="dxa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551</w:t>
            </w:r>
          </w:p>
        </w:tc>
        <w:tc>
          <w:tcPr>
            <w:tcW w:w="1701" w:type="dxa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0,37</w:t>
            </w:r>
          </w:p>
        </w:tc>
        <w:tc>
          <w:tcPr>
            <w:tcW w:w="1560" w:type="dxa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2,70</w:t>
            </w:r>
          </w:p>
        </w:tc>
      </w:tr>
      <w:tr w:rsidR="00F279EA" w:rsidRPr="00F60F55" w:rsidTr="00C72539">
        <w:trPr>
          <w:jc w:val="center"/>
        </w:trPr>
        <w:tc>
          <w:tcPr>
            <w:tcW w:w="836" w:type="dxa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2012</w:t>
            </w:r>
          </w:p>
        </w:tc>
        <w:tc>
          <w:tcPr>
            <w:tcW w:w="1540" w:type="dxa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591</w:t>
            </w:r>
          </w:p>
        </w:tc>
        <w:tc>
          <w:tcPr>
            <w:tcW w:w="1701" w:type="dxa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0,38</w:t>
            </w:r>
          </w:p>
        </w:tc>
        <w:tc>
          <w:tcPr>
            <w:tcW w:w="1560" w:type="dxa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2,37</w:t>
            </w:r>
          </w:p>
        </w:tc>
      </w:tr>
      <w:tr w:rsidR="00F279EA" w:rsidRPr="00F60F55" w:rsidTr="00C72539">
        <w:trPr>
          <w:jc w:val="center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2013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471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0,28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1,93</w:t>
            </w:r>
          </w:p>
        </w:tc>
      </w:tr>
      <w:tr w:rsidR="00F279EA" w:rsidRPr="00F60F55" w:rsidTr="00C72539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2014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654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0,34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2,10</w:t>
            </w:r>
          </w:p>
        </w:tc>
      </w:tr>
      <w:tr w:rsidR="00F279EA" w:rsidRPr="00F60F55" w:rsidTr="00C72539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2015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940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0,46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2,31</w:t>
            </w:r>
          </w:p>
        </w:tc>
      </w:tr>
      <w:tr w:rsidR="00F279EA" w:rsidRPr="00F60F55" w:rsidTr="00C72539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2016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630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0,26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1,51</w:t>
            </w:r>
          </w:p>
        </w:tc>
      </w:tr>
      <w:tr w:rsidR="00F279EA" w:rsidRPr="00F60F55" w:rsidTr="00C72539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2017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1569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0,62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3,60</w:t>
            </w:r>
          </w:p>
        </w:tc>
      </w:tr>
      <w:tr w:rsidR="00F279EA" w:rsidRPr="00F60F55" w:rsidTr="00C72539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2018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1211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79EA" w:rsidRPr="00F60F55" w:rsidRDefault="00F279EA" w:rsidP="00396051">
            <w:pPr>
              <w:jc w:val="both"/>
              <w:rPr>
                <w:sz w:val="18"/>
                <w:szCs w:val="18"/>
              </w:rPr>
            </w:pPr>
            <w:r w:rsidRPr="00F60F55">
              <w:rPr>
                <w:sz w:val="18"/>
                <w:szCs w:val="18"/>
              </w:rPr>
              <w:t>2,62</w:t>
            </w:r>
          </w:p>
        </w:tc>
      </w:tr>
    </w:tbl>
    <w:p w:rsidR="00F279EA" w:rsidRDefault="00F279EA" w:rsidP="00396051">
      <w:pPr>
        <w:jc w:val="both"/>
      </w:pPr>
    </w:p>
    <w:p w:rsidR="00F279EA" w:rsidRDefault="00F279EA" w:rsidP="00396051">
      <w:pPr>
        <w:jc w:val="both"/>
      </w:pPr>
    </w:p>
    <w:p w:rsidR="00F279EA" w:rsidRPr="00A27F46" w:rsidRDefault="00F279EA" w:rsidP="00396051">
      <w:pPr>
        <w:pStyle w:val="Nadpis2"/>
        <w:jc w:val="both"/>
      </w:pPr>
      <w:r w:rsidRPr="00A27F46">
        <w:t>Investice do ochrany životního prostředí</w:t>
      </w:r>
    </w:p>
    <w:p w:rsidR="00F279EA" w:rsidRDefault="00F279EA" w:rsidP="00396051">
      <w:pPr>
        <w:jc w:val="both"/>
      </w:pPr>
    </w:p>
    <w:p w:rsidR="00F279EA" w:rsidRPr="00B764B0" w:rsidRDefault="00F279EA" w:rsidP="00396051">
      <w:pPr>
        <w:jc w:val="both"/>
        <w:rPr>
          <w:szCs w:val="24"/>
        </w:rPr>
      </w:pPr>
      <w:r w:rsidRPr="00B764B0">
        <w:rPr>
          <w:szCs w:val="24"/>
        </w:rPr>
        <w:lastRenderedPageBreak/>
        <w:t>Kapitálové investice Explosia a. s. v letech 2002 až 2007 zahrnovaly celkem 5,885 mil. Kč do ochrany životního prostředí. V této době byly realizovány dvě investice. V říjnu roku 2004 byla dokončena investiční akce „Měřící žlab na Pohránovském kanálu“ v hodnotě 0,9 mil. Kč. V prvním čtvrtletí 2005 pak byla zkolaudována a zprovozněna investice zajišťující přepojení zdrojů emisí etanolu a etheru z výroben B 54 a B 55 na centrální adsorpční stanici B 56 v hodnotě 1,4 mil. Kč. V roce 2005 byl zkolaudován měřící žlab v hodnotě 0,4 mil Kč.</w:t>
      </w:r>
    </w:p>
    <w:p w:rsidR="00F279EA" w:rsidRPr="00B764B0" w:rsidRDefault="00F279EA" w:rsidP="00396051">
      <w:pPr>
        <w:jc w:val="both"/>
        <w:rPr>
          <w:szCs w:val="24"/>
        </w:rPr>
      </w:pPr>
      <w:r w:rsidRPr="00B764B0">
        <w:rPr>
          <w:szCs w:val="24"/>
        </w:rPr>
        <w:t xml:space="preserve">V rámci úkolů technického rozvoje společnosti v letech 2003 a 2004 byl řešen úkol likvidace kalů z výroby </w:t>
      </w:r>
      <w:proofErr w:type="spellStart"/>
      <w:r w:rsidRPr="00B764B0">
        <w:rPr>
          <w:szCs w:val="24"/>
        </w:rPr>
        <w:t>pentritu</w:t>
      </w:r>
      <w:proofErr w:type="spellEnd"/>
      <w:r w:rsidRPr="00B764B0">
        <w:rPr>
          <w:szCs w:val="24"/>
        </w:rPr>
        <w:t xml:space="preserve"> chemickou cestou v ceně 1,45 mil. Kč. V roce 2004 pak začal výzkum komplexního úkolu, který se zabývá řešením odpadních vod z průmyslových trhavin (výroba nitroglycerinu, </w:t>
      </w:r>
      <w:proofErr w:type="spellStart"/>
      <w:r w:rsidRPr="00B764B0">
        <w:rPr>
          <w:szCs w:val="24"/>
        </w:rPr>
        <w:t>pentritu</w:t>
      </w:r>
      <w:proofErr w:type="spellEnd"/>
      <w:r w:rsidRPr="00B764B0">
        <w:rPr>
          <w:szCs w:val="24"/>
        </w:rPr>
        <w:t xml:space="preserve"> i průmyslových trhavin) v hodnotě 1,75 mil. Kč. Část tohoto úkolu je zaměřena na čištění odpadních vod pomocí </w:t>
      </w:r>
      <w:proofErr w:type="spellStart"/>
      <w:r w:rsidRPr="00B764B0">
        <w:rPr>
          <w:szCs w:val="24"/>
        </w:rPr>
        <w:t>fytoremediace</w:t>
      </w:r>
      <w:proofErr w:type="spellEnd"/>
      <w:r w:rsidRPr="00B764B0">
        <w:rPr>
          <w:szCs w:val="24"/>
        </w:rPr>
        <w:t>.</w:t>
      </w:r>
    </w:p>
    <w:p w:rsidR="00F279EA" w:rsidRPr="00B764B0" w:rsidRDefault="00F279EA" w:rsidP="00396051">
      <w:pPr>
        <w:jc w:val="both"/>
        <w:rPr>
          <w:szCs w:val="24"/>
        </w:rPr>
      </w:pPr>
      <w:r w:rsidRPr="00B764B0">
        <w:rPr>
          <w:szCs w:val="24"/>
        </w:rPr>
        <w:t xml:space="preserve">V roce 2005, 2006 i 2007 pokračoval výzkum v oblasti řešení odpadních vod z průmyslových trhavin i </w:t>
      </w:r>
      <w:proofErr w:type="spellStart"/>
      <w:r w:rsidRPr="00B764B0">
        <w:rPr>
          <w:szCs w:val="24"/>
        </w:rPr>
        <w:t>fytoremediací</w:t>
      </w:r>
      <w:proofErr w:type="spellEnd"/>
      <w:r w:rsidRPr="00B764B0">
        <w:rPr>
          <w:szCs w:val="24"/>
        </w:rPr>
        <w:t xml:space="preserve"> (výroba nitroglycerinu, </w:t>
      </w:r>
      <w:proofErr w:type="spellStart"/>
      <w:r w:rsidRPr="00B764B0">
        <w:rPr>
          <w:szCs w:val="24"/>
        </w:rPr>
        <w:t>pentritu</w:t>
      </w:r>
      <w:proofErr w:type="spellEnd"/>
      <w:r w:rsidRPr="00B764B0">
        <w:rPr>
          <w:szCs w:val="24"/>
        </w:rPr>
        <w:t xml:space="preserve">, DNOK, TNR i průmyslových trhavin) v hodnotě 1,320 mil. Kč v roce 2005, dále 0,735 mil. Kč v roce 2006 a 0,837 mil. Kč v roce 2007. </w:t>
      </w:r>
    </w:p>
    <w:p w:rsidR="00F279EA" w:rsidRPr="00B764B0" w:rsidRDefault="00F279EA" w:rsidP="00396051">
      <w:pPr>
        <w:jc w:val="both"/>
        <w:rPr>
          <w:rFonts w:cs="Arial"/>
          <w:szCs w:val="24"/>
        </w:rPr>
      </w:pPr>
      <w:r w:rsidRPr="00B764B0">
        <w:rPr>
          <w:szCs w:val="24"/>
        </w:rPr>
        <w:t xml:space="preserve">V roce 2007 byla zahájena příprava projektu nové kanalizace pro odvádění technologických a splaškových vod. V roce 2009 byla zahájena a ukončena první část </w:t>
      </w:r>
      <w:r w:rsidRPr="00B764B0">
        <w:rPr>
          <w:rFonts w:cs="Arial"/>
          <w:szCs w:val="24"/>
        </w:rPr>
        <w:t xml:space="preserve">kanalizace v hodnotě 17 mil. Kč. V realizaci této akce se pokračovalo i v roce 2010 s nákladem na investici 2,578 mil. Kč. </w:t>
      </w:r>
    </w:p>
    <w:p w:rsidR="00F279EA" w:rsidRPr="00B764B0" w:rsidRDefault="00F279EA" w:rsidP="00396051">
      <w:pPr>
        <w:jc w:val="both"/>
        <w:rPr>
          <w:rFonts w:cs="Arial"/>
          <w:szCs w:val="24"/>
        </w:rPr>
      </w:pPr>
      <w:r w:rsidRPr="00B764B0">
        <w:rPr>
          <w:rFonts w:cs="Arial"/>
          <w:szCs w:val="24"/>
        </w:rPr>
        <w:t xml:space="preserve">V roce 2018 byla vyhotovena projektová dokumentace pro vybudování </w:t>
      </w:r>
      <w:r w:rsidRPr="00B764B0">
        <w:rPr>
          <w:rFonts w:cs="Arial"/>
          <w:color w:val="000000"/>
          <w:szCs w:val="24"/>
        </w:rPr>
        <w:t>nového stáčecí místa A26, nově využívaný objekt B 308 připojen ke kanalizaci, instalován nový zásobník kyselin na objektu H4, inovován systém vodního hospodářství na objektu B 315 a na témž objektu realizováno odhlučnění ventilátorů.</w:t>
      </w:r>
    </w:p>
    <w:p w:rsidR="00F279EA" w:rsidRPr="00AA3965" w:rsidRDefault="00F279EA" w:rsidP="00396051">
      <w:pPr>
        <w:pStyle w:val="Nadpis2"/>
      </w:pPr>
      <w:r w:rsidRPr="00AA3965">
        <w:t>Doprava a obaly</w:t>
      </w:r>
    </w:p>
    <w:p w:rsidR="00F279EA" w:rsidRPr="00003B25" w:rsidRDefault="00F279EA" w:rsidP="00BD2A36"/>
    <w:p w:rsidR="00F279EA" w:rsidRPr="00003B25" w:rsidRDefault="00F279EA" w:rsidP="00396051">
      <w:pPr>
        <w:jc w:val="both"/>
      </w:pPr>
      <w:r w:rsidRPr="00003B25">
        <w:t>Společnost aktivně přistupuje k problematice hospodaření s obaly a vyvíjí aktivity ke snížení spotřeby obalů na jedno použití.</w:t>
      </w:r>
    </w:p>
    <w:p w:rsidR="00F279EA" w:rsidRPr="00396051" w:rsidRDefault="00F279EA" w:rsidP="00396051">
      <w:pPr>
        <w:jc w:val="both"/>
        <w:rPr>
          <w:rFonts w:cs="Times New Roman"/>
          <w:szCs w:val="24"/>
        </w:rPr>
      </w:pPr>
      <w:r w:rsidRPr="00003B25">
        <w:t>Vzhledem k povaze produktu (výbušnin) se společnost již dlouhodobě zabývá odpovědným výběrem dopravců a v případě malých odběratelů i drobných obalů. Společnost pečlivě dodržuje příslušné mezinárodní předpisy pro železniční a silniční přepravu nebezpečného zboží dle RID a ADR. Každá expedice produktu ze závodu je vybavena příslušnou d</w:t>
      </w:r>
      <w:r w:rsidRPr="00396051">
        <w:rPr>
          <w:rFonts w:cs="Times New Roman"/>
          <w:szCs w:val="24"/>
        </w:rPr>
        <w:t>oprovodnou bezpečnostní a havarijní dokumen</w:t>
      </w:r>
      <w:r w:rsidR="00396051" w:rsidRPr="00396051">
        <w:rPr>
          <w:rFonts w:cs="Times New Roman"/>
          <w:szCs w:val="24"/>
        </w:rPr>
        <w:t>tací.</w:t>
      </w:r>
    </w:p>
    <w:p w:rsidR="00340C65" w:rsidRDefault="00340C65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396051" w:rsidRPr="00396051" w:rsidRDefault="00396051" w:rsidP="00396051">
      <w:pPr>
        <w:pStyle w:val="Bezmezer"/>
        <w:rPr>
          <w:rFonts w:cs="Times New Roman"/>
          <w:szCs w:val="24"/>
        </w:rPr>
      </w:pPr>
    </w:p>
    <w:p w:rsidR="00F279EA" w:rsidRPr="00396051" w:rsidRDefault="00F279EA" w:rsidP="00396051">
      <w:pPr>
        <w:pStyle w:val="Nadpis2"/>
        <w:rPr>
          <w:rStyle w:val="Nadpis2Char"/>
          <w:b/>
        </w:rPr>
      </w:pPr>
      <w:r w:rsidRPr="00396051">
        <w:rPr>
          <w:rStyle w:val="Nadpis2Char"/>
          <w:b/>
        </w:rPr>
        <w:t>Monitorování vlivů na životní prostředí</w:t>
      </w:r>
    </w:p>
    <w:p w:rsidR="00F279EA" w:rsidRPr="00003B25" w:rsidRDefault="00F279EA" w:rsidP="00F279EA">
      <w:pPr>
        <w:rPr>
          <w:rFonts w:cs="Arial"/>
        </w:rPr>
      </w:pPr>
    </w:p>
    <w:p w:rsidR="00F279EA" w:rsidRDefault="00F279EA" w:rsidP="00A27F46">
      <w:pPr>
        <w:pStyle w:val="Nadpis3"/>
      </w:pPr>
      <w:r w:rsidRPr="00003B25">
        <w:t>Monitoring ovzduší</w:t>
      </w:r>
    </w:p>
    <w:p w:rsidR="00F279EA" w:rsidRPr="00003B25" w:rsidRDefault="00F279EA" w:rsidP="00F279EA">
      <w:pPr>
        <w:pStyle w:val="Odstavecseseznamem"/>
        <w:ind w:left="0"/>
        <w:rPr>
          <w:rFonts w:ascii="Arial" w:hAnsi="Arial" w:cs="Arial"/>
        </w:rPr>
      </w:pPr>
    </w:p>
    <w:p w:rsidR="00F279EA" w:rsidRPr="00003B25" w:rsidRDefault="00F279EA" w:rsidP="00340C65">
      <w:pPr>
        <w:jc w:val="both"/>
      </w:pPr>
      <w:r w:rsidRPr="00003B25">
        <w:t>Společnost v souladu s platnou legislativou zajišťuje měření emisí znečišťujících látek z provozovaných emisních zdrojů. V oblasti chemických průmyslových zařízení na výrobu výbušin je četnost jednorázových měření stanovena jednou za kalendářní rok. V roce 2004 byl proveden monitoring na šesti zvláště velkých zdrojích znečištění nezávislou auditorskou firmou. V roce 2005 pak bylo provedeno měření na třech zdrojích emisí, v roce 2006 až 2011 pak pouze u dvou. V areálu společnosti není na žádném zdroji provozováno kontinuální měření emisí.</w:t>
      </w:r>
    </w:p>
    <w:p w:rsidR="00F279EA" w:rsidRPr="00003B25" w:rsidRDefault="00F279EA" w:rsidP="000513FE">
      <w:pPr>
        <w:pStyle w:val="Odstavecseseznamem"/>
        <w:ind w:left="0"/>
        <w:jc w:val="both"/>
        <w:rPr>
          <w:rFonts w:ascii="Arial" w:hAnsi="Arial" w:cs="Arial"/>
        </w:rPr>
      </w:pPr>
    </w:p>
    <w:p w:rsidR="00F279EA" w:rsidRDefault="00F279EA" w:rsidP="000513FE">
      <w:pPr>
        <w:pStyle w:val="Nadpis3"/>
        <w:jc w:val="both"/>
      </w:pPr>
      <w:r w:rsidRPr="00003B25">
        <w:t>Monitoring odpadních vod</w:t>
      </w:r>
    </w:p>
    <w:p w:rsidR="00F279EA" w:rsidRPr="00003B25" w:rsidRDefault="00F279EA" w:rsidP="000513FE">
      <w:pPr>
        <w:pStyle w:val="Odstavecseseznamem"/>
        <w:ind w:left="0"/>
        <w:jc w:val="both"/>
        <w:rPr>
          <w:rFonts w:ascii="Arial" w:hAnsi="Arial" w:cs="Arial"/>
        </w:rPr>
      </w:pPr>
    </w:p>
    <w:p w:rsidR="00F279EA" w:rsidRPr="00003B25" w:rsidRDefault="00F279EA" w:rsidP="000513FE">
      <w:pPr>
        <w:jc w:val="both"/>
      </w:pPr>
      <w:r w:rsidRPr="00003B25">
        <w:t>Se vznikem akciové společnosti Explosia</w:t>
      </w:r>
      <w:r w:rsidR="00105C43">
        <w:t xml:space="preserve"> a.s.</w:t>
      </w:r>
      <w:r w:rsidRPr="00003B25">
        <w:t xml:space="preserve"> od 1. 6. 2002 bylo zahájeno monitorování jednotlivých výustí vypouštěných odpadních vod do »Pohránovského kanálu« na rozhraní se společnosti Synthesia a.s. Byly sledovány jednotlivé parametry znečištění podle v té době platného povolení k nakládání s vodami. Na základě nového povolení o vypouštění odpadních vod platného od 1. 7. 2004 byla přijata okamžitá opatření na snížení znečištění a dodržení požadovaných parametrů. Pro další snížení množství znečištění odpadních vod bude prováděn monitoring na jednotlivých větvích vtoku do »Pohránovského kanálu« a monitorovány budou rovněž hlavní výrobní objekty. </w:t>
      </w:r>
    </w:p>
    <w:p w:rsidR="00F279EA" w:rsidRPr="00003B25" w:rsidRDefault="00F279EA" w:rsidP="000513FE">
      <w:pPr>
        <w:jc w:val="both"/>
      </w:pPr>
      <w:r w:rsidRPr="00003B25">
        <w:t>V roce 2004 v říjnu byla dokončena investiční akce měřícího žlabu na »Pohránovském kanálu« na pozici před objektem U 22, kde odpadní vody opouštějí areál společnosti. V roce 2004 rovněž připravována investiční akce k měření průtoku a objemu vypouštěných odpadních vod pro profil u H 24 a byla realizována tak, že uvedení do provozu bylo k termínu 1. 11. 2005.</w:t>
      </w:r>
    </w:p>
    <w:p w:rsidR="00F279EA" w:rsidRPr="00003B25" w:rsidRDefault="00F279EA" w:rsidP="000513FE">
      <w:pPr>
        <w:jc w:val="both"/>
      </w:pPr>
      <w:r w:rsidRPr="00003B25">
        <w:t xml:space="preserve">Na konci roku 2006 byly zahájeny a v roce 2008 byly ukončeny projekční práce na investiční akci odvedení všech technologických vod do kanalizace B na ČOV </w:t>
      </w:r>
      <w:proofErr w:type="spellStart"/>
      <w:r w:rsidRPr="00003B25">
        <w:t>Veolia</w:t>
      </w:r>
      <w:proofErr w:type="spellEnd"/>
      <w:r w:rsidRPr="00003B25">
        <w:t>. V roce 2009 byla zahájena a rovněž ukončena první část odpadní kanalizace. V rámci této akce bylo vybudováno měřící místo na tomto technologickém kanálu a zprovozněno dne 17.</w:t>
      </w:r>
      <w:r w:rsidR="00A27F46">
        <w:t xml:space="preserve"> </w:t>
      </w:r>
      <w:r w:rsidRPr="00003B25">
        <w:t>12.</w:t>
      </w:r>
      <w:r w:rsidR="00A27F46">
        <w:t xml:space="preserve"> </w:t>
      </w:r>
      <w:r w:rsidRPr="00003B25">
        <w:t xml:space="preserve">2009. Tímto byly splněny podmínky IPPC pro </w:t>
      </w:r>
      <w:proofErr w:type="spellStart"/>
      <w:r w:rsidRPr="00003B25">
        <w:t>pentrit</w:t>
      </w:r>
      <w:proofErr w:type="spellEnd"/>
      <w:r w:rsidRPr="00003B25">
        <w:t xml:space="preserve"> a nitroglycerin, nevypouštět technologické vody do Pohránovského kanálu. V roce 2010 byla dokončena realizace akce „Kanalizace“ a byly vybudovány a zkolaudovány dne 16.</w:t>
      </w:r>
      <w:r w:rsidR="00A27F46">
        <w:t xml:space="preserve"> </w:t>
      </w:r>
      <w:r w:rsidRPr="00003B25">
        <w:t>12</w:t>
      </w:r>
      <w:r w:rsidR="00105C43">
        <w:t>.</w:t>
      </w:r>
      <w:r w:rsidRPr="00003B25">
        <w:t>2010 vedlejší větve napojené na hlavní řád kanalizace.</w:t>
      </w:r>
    </w:p>
    <w:p w:rsidR="00F279EA" w:rsidRPr="00003B25" w:rsidRDefault="00F279EA" w:rsidP="00A27F46"/>
    <w:p w:rsidR="00F279EA" w:rsidRDefault="00F279EA" w:rsidP="00A27F46">
      <w:pPr>
        <w:pStyle w:val="Nadpis3"/>
      </w:pPr>
      <w:r w:rsidRPr="00003B25">
        <w:t>Posuzování hluku na okolí</w:t>
      </w:r>
    </w:p>
    <w:p w:rsidR="00F279EA" w:rsidRPr="00003B25" w:rsidRDefault="00F279EA" w:rsidP="00BD2A36"/>
    <w:p w:rsidR="00F279EA" w:rsidRPr="00003B25" w:rsidRDefault="00F279EA" w:rsidP="000513FE">
      <w:pPr>
        <w:jc w:val="both"/>
      </w:pPr>
      <w:r w:rsidRPr="00003B25">
        <w:t>V rámci zajištění požadavku nového nařízení o ochraně zdraví před nepříznivými účinky hluku a vibrací byly autorizovanou firmou provedeny zkoušky měření impulsního hluku při detonacích zkoušených druhů trhavin. Výsledky prokázaly, že při zkoušení uvedených typů náloží na zkušebním místě v areálu společnosti, nezpůsobují tyto detonace trhavin překročení platných hygienických limitů na hranicích nejbližšího chráněného prostoru.</w:t>
      </w:r>
    </w:p>
    <w:p w:rsidR="00F279EA" w:rsidRPr="00003B25" w:rsidRDefault="00F279EA" w:rsidP="00A27F46"/>
    <w:p w:rsidR="00F279EA" w:rsidRPr="00003B25" w:rsidRDefault="00F279EA" w:rsidP="00A27F46">
      <w:pPr>
        <w:pStyle w:val="Nadpis3"/>
      </w:pPr>
      <w:r w:rsidRPr="00003B25">
        <w:t>Posuzování vlivu na životní prostředí</w:t>
      </w:r>
    </w:p>
    <w:p w:rsidR="00396051" w:rsidRDefault="00396051" w:rsidP="00A27F46"/>
    <w:p w:rsidR="00F279EA" w:rsidRPr="00AA3965" w:rsidRDefault="00F279EA" w:rsidP="000513FE">
      <w:pPr>
        <w:jc w:val="both"/>
      </w:pPr>
      <w:r w:rsidRPr="00AA3965">
        <w:t>V rámci zákona o integrované prevenci bylo Explosia a.s. požádán</w:t>
      </w:r>
      <w:r>
        <w:t>o o vydání příslušného povolení. F</w:t>
      </w:r>
      <w:r w:rsidRPr="00AA3965">
        <w:t>irma obdržela integrované povolení. Tímto došlo k naplnění tohoto zákona pro výroby v naší akciové společnosti.</w:t>
      </w:r>
    </w:p>
    <w:p w:rsidR="00F279EA" w:rsidRPr="00AA3965" w:rsidRDefault="00F279EA" w:rsidP="00A27F46">
      <w:pPr>
        <w:pStyle w:val="Nadpis3"/>
      </w:pPr>
      <w:r w:rsidRPr="00AA3965">
        <w:t>Zpráva o výsledcích komunikace s vnějšími stranami</w:t>
      </w:r>
    </w:p>
    <w:p w:rsidR="00F279EA" w:rsidRPr="00003B25" w:rsidRDefault="00F279EA" w:rsidP="00F279EA"/>
    <w:p w:rsidR="00F279EA" w:rsidRPr="00AA3965" w:rsidRDefault="00F279EA" w:rsidP="000513FE">
      <w:pPr>
        <w:jc w:val="both"/>
      </w:pPr>
      <w:r w:rsidRPr="00AA3965">
        <w:t>V souladu s požadavky systémové normy ISO 14001 věnuje společnost velkou pozornost prohloubení transparentnosti a úplnosti informací o realizaci své politiky ochrany životního prostředí a zlepšování informovanosti zákazníků, distributorů a veřejnosti o svých výrobcích a výrobních aktivitách.</w:t>
      </w:r>
    </w:p>
    <w:p w:rsidR="00F279EA" w:rsidRDefault="00F279EA" w:rsidP="000513FE">
      <w:pPr>
        <w:jc w:val="both"/>
      </w:pPr>
    </w:p>
    <w:p w:rsidR="00396051" w:rsidRPr="00396051" w:rsidRDefault="00396051" w:rsidP="000513FE">
      <w:pPr>
        <w:pStyle w:val="Bezmezer"/>
        <w:jc w:val="both"/>
      </w:pPr>
    </w:p>
    <w:p w:rsidR="00F279EA" w:rsidRPr="00AA3965" w:rsidRDefault="00F279EA" w:rsidP="000513FE">
      <w:pPr>
        <w:pStyle w:val="Nadpis3"/>
        <w:jc w:val="both"/>
      </w:pPr>
      <w:r w:rsidRPr="00AA3965">
        <w:t>Stížnosti a podněty okolních samospráv a občanů okolních obcí</w:t>
      </w:r>
    </w:p>
    <w:p w:rsidR="00F279EA" w:rsidRPr="00003B25" w:rsidRDefault="00F279EA" w:rsidP="000513FE">
      <w:pPr>
        <w:jc w:val="both"/>
      </w:pPr>
    </w:p>
    <w:p w:rsidR="00F279EA" w:rsidRDefault="00F279EA" w:rsidP="000513FE">
      <w:pPr>
        <w:jc w:val="both"/>
      </w:pPr>
      <w:r w:rsidRPr="00003B25">
        <w:rPr>
          <w:szCs w:val="24"/>
        </w:rPr>
        <w:t xml:space="preserve"> </w:t>
      </w:r>
      <w:r w:rsidR="000007C2">
        <w:t>V roce 2016</w:t>
      </w:r>
      <w:r w:rsidRPr="00AA3965">
        <w:t xml:space="preserve"> provedla akreditovaná firma EKOLA </w:t>
      </w:r>
      <w:proofErr w:type="spellStart"/>
      <w:r w:rsidRPr="00AA3965">
        <w:t>group</w:t>
      </w:r>
      <w:proofErr w:type="spellEnd"/>
      <w:r w:rsidRPr="00AA3965">
        <w:t xml:space="preserve"> s.r.o. Praha měření impulzního hluku k vyhodno</w:t>
      </w:r>
      <w:r w:rsidR="00193839">
        <w:t xml:space="preserve">cení akustické situace </w:t>
      </w:r>
      <w:r w:rsidRPr="00AA3965">
        <w:t>v obci Hrádek. Naměřené hodnoty byly vyhodnoceny v soula</w:t>
      </w:r>
      <w:r w:rsidR="007A4069">
        <w:t>du s nařízením vlády č. 272/2011</w:t>
      </w:r>
      <w:r w:rsidRPr="00AA3965">
        <w:t xml:space="preserve"> Sb. a definovány maximální počty odstřelů trhavin v průběhu pracovní směny.</w:t>
      </w:r>
    </w:p>
    <w:p w:rsidR="00F279EA" w:rsidRPr="00F279EA" w:rsidRDefault="00F279EA" w:rsidP="000513FE">
      <w:pPr>
        <w:jc w:val="both"/>
        <w:rPr>
          <w:rFonts w:cs="Times New Roman"/>
          <w:szCs w:val="24"/>
        </w:rPr>
      </w:pPr>
      <w:r>
        <w:t>V roce 2018</w:t>
      </w:r>
      <w:r w:rsidR="000007C2">
        <w:t xml:space="preserve"> byla zaznamenána jedna </w:t>
      </w:r>
      <w:r w:rsidRPr="00AA3965">
        <w:t>stížnosti z okolních obcí.</w:t>
      </w:r>
    </w:p>
    <w:p w:rsidR="00F279EA" w:rsidRDefault="00F279EA" w:rsidP="00F279EA">
      <w:pPr>
        <w:jc w:val="center"/>
      </w:pPr>
    </w:p>
    <w:sectPr w:rsidR="00F279EA" w:rsidSect="00396051">
      <w:headerReference w:type="default" r:id="rId8"/>
      <w:footerReference w:type="default" r:id="rId9"/>
      <w:pgSz w:w="11906" w:h="16838"/>
      <w:pgMar w:top="1417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DDE" w:rsidRDefault="002D7DDE" w:rsidP="00F279EA">
      <w:pPr>
        <w:spacing w:after="0"/>
      </w:pPr>
      <w:r>
        <w:separator/>
      </w:r>
    </w:p>
  </w:endnote>
  <w:endnote w:type="continuationSeparator" w:id="0">
    <w:p w:rsidR="002D7DDE" w:rsidRDefault="002D7DDE" w:rsidP="00F279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646578"/>
      <w:docPartObj>
        <w:docPartGallery w:val="Page Numbers (Bottom of Page)"/>
        <w:docPartUnique/>
      </w:docPartObj>
    </w:sdtPr>
    <w:sdtEndPr/>
    <w:sdtContent>
      <w:p w:rsidR="00105C43" w:rsidRDefault="00105C4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C65">
          <w:rPr>
            <w:noProof/>
          </w:rPr>
          <w:t>1</w:t>
        </w:r>
        <w:r>
          <w:fldChar w:fldCharType="end"/>
        </w:r>
      </w:p>
    </w:sdtContent>
  </w:sdt>
  <w:p w:rsidR="00105C43" w:rsidRDefault="00105C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DDE" w:rsidRDefault="002D7DDE" w:rsidP="00F279EA">
      <w:pPr>
        <w:spacing w:after="0"/>
      </w:pPr>
      <w:r>
        <w:separator/>
      </w:r>
    </w:p>
  </w:footnote>
  <w:footnote w:type="continuationSeparator" w:id="0">
    <w:p w:rsidR="002D7DDE" w:rsidRDefault="002D7DDE" w:rsidP="00F279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C43" w:rsidRDefault="00105C43">
    <w:pPr>
      <w:pStyle w:val="Zhlav"/>
    </w:pPr>
    <w:r>
      <w:rPr>
        <w:rFonts w:ascii="Arial" w:hAnsi="Arial" w:cs="Arial"/>
        <w:i/>
        <w:noProof/>
        <w:lang w:eastAsia="cs-CZ"/>
      </w:rPr>
      <w:drawing>
        <wp:inline distT="0" distB="0" distL="0" distR="0">
          <wp:extent cx="1626919" cy="456266"/>
          <wp:effectExtent l="0" t="0" r="6985" b="127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919" cy="456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 w:rsidRPr="0031108E">
      <w:rPr>
        <w:noProof/>
        <w:lang w:eastAsia="cs-CZ"/>
      </w:rPr>
      <w:drawing>
        <wp:inline distT="0" distB="0" distL="0" distR="0">
          <wp:extent cx="898525" cy="858520"/>
          <wp:effectExtent l="0" t="0" r="0" b="0"/>
          <wp:docPr id="3" name="Obrázek 3" descr="\\explosia02\info\LOGA\logo ISO new\ISO 9001 and ISO 14001 (1004pix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\\explosia02\info\LOGA\logo ISO new\ISO 9001 and ISO 14001 (1004pix)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5C43" w:rsidRDefault="00105C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679B"/>
    <w:multiLevelType w:val="multilevel"/>
    <w:tmpl w:val="192AC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76390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6C4DE0"/>
    <w:multiLevelType w:val="multilevel"/>
    <w:tmpl w:val="7A1269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84D75F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EA"/>
    <w:rsid w:val="000007C2"/>
    <w:rsid w:val="00020044"/>
    <w:rsid w:val="000430F3"/>
    <w:rsid w:val="000513FE"/>
    <w:rsid w:val="00105C43"/>
    <w:rsid w:val="00193839"/>
    <w:rsid w:val="001D4305"/>
    <w:rsid w:val="002D359B"/>
    <w:rsid w:val="002D7DDE"/>
    <w:rsid w:val="00340C65"/>
    <w:rsid w:val="00396051"/>
    <w:rsid w:val="0057656B"/>
    <w:rsid w:val="007A4069"/>
    <w:rsid w:val="007A6F76"/>
    <w:rsid w:val="00A27F46"/>
    <w:rsid w:val="00B01022"/>
    <w:rsid w:val="00B50FA9"/>
    <w:rsid w:val="00B764B0"/>
    <w:rsid w:val="00BD2A36"/>
    <w:rsid w:val="00C72539"/>
    <w:rsid w:val="00D124D9"/>
    <w:rsid w:val="00DB5D65"/>
    <w:rsid w:val="00DE28EB"/>
    <w:rsid w:val="00E12D19"/>
    <w:rsid w:val="00E345F0"/>
    <w:rsid w:val="00EB27A4"/>
    <w:rsid w:val="00F279EA"/>
    <w:rsid w:val="00FB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7085"/>
  <w15:chartTrackingRefBased/>
  <w15:docId w15:val="{8F755C2C-60ED-42D1-928B-CABAE24A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next w:val="Bezmezer"/>
    <w:qFormat/>
    <w:rsid w:val="00F279EA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79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279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279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79E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279EA"/>
  </w:style>
  <w:style w:type="paragraph" w:styleId="Zpat">
    <w:name w:val="footer"/>
    <w:basedOn w:val="Normln"/>
    <w:link w:val="ZpatChar"/>
    <w:uiPriority w:val="99"/>
    <w:unhideWhenUsed/>
    <w:rsid w:val="00F279E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279EA"/>
  </w:style>
  <w:style w:type="paragraph" w:customStyle="1" w:styleId="Zkladntext21">
    <w:name w:val="Základní text 21"/>
    <w:basedOn w:val="Normln"/>
    <w:rsid w:val="00F279EA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279EA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279E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F279EA"/>
    <w:rPr>
      <w:rFonts w:asciiTheme="majorHAnsi" w:eastAsiaTheme="majorEastAsia" w:hAnsiTheme="majorHAnsi" w:cstheme="majorBidi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279EA"/>
    <w:pPr>
      <w:ind w:left="720"/>
      <w:contextualSpacing/>
    </w:pPr>
  </w:style>
  <w:style w:type="paragraph" w:styleId="Bezmezer">
    <w:name w:val="No Spacing"/>
    <w:uiPriority w:val="1"/>
    <w:qFormat/>
    <w:rsid w:val="00C72539"/>
    <w:pPr>
      <w:spacing w:after="0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C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2966</Words>
  <Characters>17501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Smazilova</dc:creator>
  <cp:keywords/>
  <dc:description/>
  <cp:lastModifiedBy>Martin Vencl</cp:lastModifiedBy>
  <cp:revision>2</cp:revision>
  <cp:lastPrinted>2019-07-31T06:04:00Z</cp:lastPrinted>
  <dcterms:created xsi:type="dcterms:W3CDTF">2019-10-10T06:50:00Z</dcterms:created>
  <dcterms:modified xsi:type="dcterms:W3CDTF">2019-10-10T06:50:00Z</dcterms:modified>
</cp:coreProperties>
</file>